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8386" w14:textId="77777777" w:rsidR="00A65FE6" w:rsidRDefault="00A65FE6" w:rsidP="00A65FE6">
      <w:pPr>
        <w:pStyle w:val="author"/>
        <w:rPr>
          <w:b/>
          <w:sz w:val="28"/>
        </w:rPr>
      </w:pPr>
      <w:r w:rsidRPr="00735EF1">
        <w:rPr>
          <w:b/>
          <w:sz w:val="28"/>
        </w:rPr>
        <w:t>Empowering Future Generations: A Systematic Review of Project-based Learning's Role in Achieving Sustainable Development Goals</w:t>
      </w:r>
    </w:p>
    <w:p w14:paraId="30BF7D6D" w14:textId="77777777" w:rsidR="00A65FE6" w:rsidRPr="00EE426C" w:rsidRDefault="00A65FE6" w:rsidP="00A65FE6">
      <w:pPr>
        <w:pStyle w:val="author"/>
      </w:pPr>
      <w:r>
        <w:t>Fitriani</w:t>
      </w:r>
      <w:r w:rsidRPr="00EE426C">
        <w:rPr>
          <w:vertAlign w:val="superscript"/>
        </w:rPr>
        <w:t>1</w:t>
      </w:r>
      <w:r w:rsidRPr="00EE426C">
        <w:t xml:space="preserve"> </w:t>
      </w:r>
    </w:p>
    <w:p w14:paraId="3D3B9EF5" w14:textId="77777777" w:rsidR="00A65FE6" w:rsidRPr="006809AE" w:rsidRDefault="00A65FE6" w:rsidP="00A65FE6">
      <w:pPr>
        <w:pStyle w:val="address"/>
      </w:pPr>
      <w:r w:rsidRPr="00EE426C">
        <w:rPr>
          <w:vertAlign w:val="superscript"/>
        </w:rPr>
        <w:t>1</w:t>
      </w:r>
      <w:r w:rsidRPr="00EE426C">
        <w:t xml:space="preserve"> </w:t>
      </w:r>
      <w:r w:rsidRPr="006126A0">
        <w:rPr>
          <w:i/>
          <w:iCs/>
        </w:rPr>
        <w:t>Department of Physics Education, Faculty of Mathematics and Science Education, Universitas Pendidikan Indonesia</w:t>
      </w:r>
      <w:r w:rsidRPr="006809AE">
        <w:br/>
      </w:r>
      <w:r>
        <w:rPr>
          <w:rStyle w:val="e-mail"/>
          <w:rFonts w:eastAsiaTheme="majorEastAsia"/>
        </w:rPr>
        <w:t>fitrianifis@upi.edu</w:t>
      </w:r>
    </w:p>
    <w:p w14:paraId="334DE71C" w14:textId="77777777" w:rsidR="00A65FE6" w:rsidRPr="00EE426C" w:rsidRDefault="00A65FE6" w:rsidP="00A65FE6">
      <w:pPr>
        <w:pStyle w:val="abstract"/>
        <w:spacing w:after="0"/>
        <w:ind w:firstLine="0"/>
      </w:pPr>
      <w:r w:rsidRPr="00EE426C">
        <w:rPr>
          <w:b/>
          <w:bCs/>
        </w:rPr>
        <w:t xml:space="preserve">Abstract. Abstract. </w:t>
      </w:r>
      <w:r w:rsidRPr="006126A0">
        <w:t>The modern education is currently confronted with the dilemma of the need to prepare students with the necessary competencies to address global issues such as those outlined in the United Nations’ Sustainable Development Goals (SDGs). But, there is a big chasm between understanding sustainability as a concept, and practicing it. This research has focused on reviewing the research on the role of ProjectBased Learning (PBL) as a pedagogical strategy for integrating SGDs in educational curriculum. The approach is a systematic review of 17 original contributions covering different types of education (primary, secondary, vocational, higher) and different educational subject disciplines (science, engineering, business, teacher education). The study was inductive and aimed at searching for the patterns between PjBL and the effectiveness of PjBL in acquiring the fundamental skills and competencies related to the practice areas of SDGs. The findings of the research indicate that PjBL is consistently and effectively: (1) Enhancing 21 st-century skills: critical thinking, creativity, and problemsolving; (2) Bridging the theory-practice gap through doing real; (3) Boosting motivation, self-efficacy, and active engagementthrough contextual projects; (4) Developing transversal competencies: collaboration, professional responsibility, and social awareness; and (5) Leading to concrete change in terms of improved academic projects and environmentally friendly innovation (e.g. waste-based products, processes, services and and composting projects). In conclusion, PjBL has proven to be a transformative pedagogical framework for Education for Sustainable Development (ESD). Its sustainable implementation requires institutional support, systematic teacher training, and academic-industry collaboration. Thus, PjBL functions not merely as a learning method but as a strategic approach to produce an innovative generation that is responsible for sustainable development.</w:t>
      </w:r>
    </w:p>
    <w:p w14:paraId="4EA7E94C" w14:textId="77777777" w:rsidR="00A65FE6" w:rsidRPr="00EE426C" w:rsidRDefault="00A65FE6" w:rsidP="00A65FE6">
      <w:pPr>
        <w:pStyle w:val="abstract"/>
        <w:spacing w:after="0"/>
        <w:ind w:firstLine="0"/>
      </w:pPr>
    </w:p>
    <w:p w14:paraId="1AADF76E" w14:textId="77777777" w:rsidR="00A65FE6" w:rsidRDefault="00A65FE6" w:rsidP="00A65FE6">
      <w:pPr>
        <w:pStyle w:val="keywords"/>
        <w:jc w:val="both"/>
      </w:pPr>
      <w:r w:rsidRPr="00EE426C">
        <w:rPr>
          <w:b/>
          <w:bCs/>
        </w:rPr>
        <w:t>Keywords:</w:t>
      </w:r>
      <w:r w:rsidRPr="00EE426C">
        <w:t xml:space="preserve"> </w:t>
      </w:r>
      <w:r w:rsidRPr="006126A0">
        <w:t>Project-Based Learning (PjBL)</w:t>
      </w:r>
      <w:r>
        <w:t xml:space="preserve">, </w:t>
      </w:r>
      <w:r w:rsidRPr="006126A0">
        <w:t>Sustainable Development Goals (SDGs)</w:t>
      </w:r>
      <w:r>
        <w:t>, E</w:t>
      </w:r>
      <w:r w:rsidRPr="006126A0">
        <w:t>ducation for Sustainable Development (ESD)</w:t>
      </w:r>
      <w:r>
        <w:t xml:space="preserve">, and </w:t>
      </w:r>
      <w:r w:rsidRPr="006126A0">
        <w:t>21st-Century Skills</w:t>
      </w:r>
      <w:r>
        <w:t>.</w:t>
      </w:r>
    </w:p>
    <w:p w14:paraId="1EFA033E" w14:textId="77777777" w:rsidR="00A65FE6" w:rsidRDefault="00A65FE6" w:rsidP="00A65FE6">
      <w:pPr>
        <w:pStyle w:val="heading1"/>
        <w:numPr>
          <w:ilvl w:val="0"/>
          <w:numId w:val="0"/>
        </w:numPr>
        <w:ind w:left="567"/>
      </w:pPr>
    </w:p>
    <w:p w14:paraId="785B118D" w14:textId="77777777" w:rsidR="00A65FE6" w:rsidRPr="00BB1A6D" w:rsidRDefault="00A65FE6" w:rsidP="00A65FE6">
      <w:pPr>
        <w:pStyle w:val="p1a"/>
      </w:pPr>
    </w:p>
    <w:p w14:paraId="58BD389F" w14:textId="77777777" w:rsidR="00A65FE6" w:rsidRDefault="00A65FE6" w:rsidP="00A65FE6">
      <w:pPr>
        <w:pStyle w:val="heading1"/>
        <w:numPr>
          <w:ilvl w:val="0"/>
          <w:numId w:val="3"/>
        </w:numPr>
        <w:spacing w:after="0"/>
      </w:pPr>
      <w:bookmarkStart w:id="0" w:name="_Ref467509391"/>
      <w:r>
        <w:lastRenderedPageBreak/>
        <w:t>Introduction</w:t>
      </w:r>
    </w:p>
    <w:p w14:paraId="6E3202E7" w14:textId="77777777" w:rsidR="00A65FE6" w:rsidRDefault="00A65FE6" w:rsidP="00A65FE6">
      <w:pPr>
        <w:pStyle w:val="p1a"/>
        <w:spacing w:before="240"/>
        <w:ind w:firstLine="227"/>
        <w:rPr>
          <w:bCs/>
        </w:rPr>
      </w:pPr>
      <w:r w:rsidRPr="00BB1A6D">
        <w:rPr>
          <w:bCs/>
        </w:rPr>
        <w:t>The 21st century is marked by accelerating multidimensional challenges, ranging from climate change and social inequality to environmental degradation [1]. These crises require coordinated global intervention. In response, the United Nations (UN) has established 17 Sustainable Development Goals (SDGs) as a blueprint for achieving a better and more sustainable future by 2030 [2]. In this context, education, particularly Education for Sustainable Development (ESD), plays a crucial role. ESD serves not only as a transfer of knowledge but also as a catalyst for instilling values, skills, and competencies that enable young people to become proactive agents of change, as emphasized by SDG 4 (Quality Education) [3].</w:t>
      </w:r>
    </w:p>
    <w:p w14:paraId="0FA63B47" w14:textId="77777777" w:rsidR="00A65FE6" w:rsidRDefault="00A65FE6" w:rsidP="00A65FE6">
      <w:r w:rsidRPr="00B03D7D">
        <w:t>Although the role of ESD is widely recognized, its implementation in the field often faces obstacles. Several studies have shown a significant gap between students' theoretical knowledge of the SDGs and their ability to translate it into concrete actions or practical solutions [4]. For example, research indicates that many students are aware of the SDGs but require a more comprehensive understanding and direct application [5]. In learning practices, traditional lecture-dominated methods are relatively effective in building cognitive awareness, but they are less capable of fostering 21st-century skills, such as critical thinking, creativity, and collaboration [6]. In fact, these skills are essential for addressing and solving complex sustainability issues [7]. This situation underscores the need for a shift in the pedagogical paradigm towards a more active, contextual, and student-centered approach [8].</w:t>
      </w:r>
    </w:p>
    <w:p w14:paraId="773CC0DF" w14:textId="77777777" w:rsidR="00A65FE6" w:rsidRPr="00B03D7D" w:rsidRDefault="00A65FE6" w:rsidP="00A65FE6">
      <w:r w:rsidRPr="00E33E14">
        <w:t>One prominent approach is Project-based Learning (PjBL). This model inherently encourages authentic problem solving, collaboration, and the integration of various disciplines, thus aligning with ESD objectives [9]. As such, PjBL is seen as having great potential to bridge the gap between students' cognitive awareness and concrete action [10]. Based on the need for integrated empirical evidence, the main objective of this systematic review is to analyze and synthesize the role of Project-based Learning in supporting the achievement of Sustainable Development Goals at various levels and contexts of education. Specifically, this review examines: (1) the impact of PjBL on students' cognitive competencies and transversal skills, (2) the effectiveness of PjBL in connecting awareness with concrete action, and (3) the challenges and recommendations for its implementation. By synthesizing findings from 17 primary studies, this research provides a comprehensive overview that is useful for educators, policymakers, and researchers, while also confirming PjBL as a key strategy for realizing Education for Sustainable Development.</w:t>
      </w:r>
    </w:p>
    <w:p w14:paraId="70C0200C" w14:textId="77777777" w:rsidR="00A65FE6" w:rsidRPr="00C30EFE" w:rsidRDefault="00A65FE6" w:rsidP="00A65FE6">
      <w:pPr>
        <w:pStyle w:val="heading1"/>
      </w:pPr>
      <w:r>
        <w:t>Method</w:t>
      </w:r>
    </w:p>
    <w:p w14:paraId="159A6213" w14:textId="77777777" w:rsidR="00A65FE6" w:rsidRDefault="00A65FE6" w:rsidP="00A65FE6">
      <w:pPr>
        <w:pStyle w:val="p1a"/>
      </w:pPr>
      <w:r w:rsidRPr="00E33E14">
        <w:t>This study employs a Systematic Literature Review (SLR) approach to gain a comprehensive understanding of the role of Project-based Learning (PBL) as an effective pedagogical strategy in supporting the achievement of the Sustainable Development Goals (SDGs). The SLR process follows a standard methodological framework that ensures data transparency and reliability</w:t>
      </w:r>
      <w:r>
        <w:t>.</w:t>
      </w:r>
    </w:p>
    <w:p w14:paraId="5EB1342A" w14:textId="77777777" w:rsidR="00A65FE6" w:rsidRPr="008764E8" w:rsidRDefault="00A65FE6" w:rsidP="00A65FE6">
      <w:pPr>
        <w:ind w:firstLine="0"/>
        <w:rPr>
          <w:b/>
          <w:bCs/>
          <w:i/>
          <w:iCs/>
        </w:rPr>
      </w:pPr>
      <w:r w:rsidRPr="008764E8">
        <w:rPr>
          <w:b/>
          <w:bCs/>
          <w:i/>
          <w:iCs/>
        </w:rPr>
        <w:lastRenderedPageBreak/>
        <w:t>Research Questions</w:t>
      </w:r>
    </w:p>
    <w:p w14:paraId="4F2B111D" w14:textId="77777777" w:rsidR="00A65FE6" w:rsidRDefault="00A65FE6" w:rsidP="00A65FE6">
      <w:r w:rsidRPr="008764E8">
        <w:t>This review is guided by three research questions formulated to synthesize findings from empirical studies:</w:t>
      </w:r>
    </w:p>
    <w:p w14:paraId="423C67EB" w14:textId="77777777" w:rsidR="00A65FE6" w:rsidRPr="008764E8" w:rsidRDefault="00A65FE6" w:rsidP="00A65FE6">
      <w:pPr>
        <w:pBdr>
          <w:top w:val="single" w:sz="4" w:space="1" w:color="auto"/>
        </w:pBdr>
        <w:jc w:val="center"/>
      </w:pPr>
      <w:r w:rsidRPr="00F9418B">
        <w:rPr>
          <w:b/>
          <w:bCs/>
        </w:rPr>
        <w:t>Table 1</w:t>
      </w:r>
      <w:r>
        <w:t>. Research Questions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346"/>
      </w:tblGrid>
      <w:tr w:rsidR="00A65FE6" w14:paraId="5FF9CF97" w14:textId="77777777" w:rsidTr="005E1E97">
        <w:tc>
          <w:tcPr>
            <w:tcW w:w="562" w:type="dxa"/>
          </w:tcPr>
          <w:p w14:paraId="226B68CE" w14:textId="77777777" w:rsidR="00A65FE6" w:rsidRDefault="00A65FE6" w:rsidP="005E1E97">
            <w:pPr>
              <w:ind w:firstLine="0"/>
              <w:jc w:val="center"/>
            </w:pPr>
            <w:r>
              <w:t>NO</w:t>
            </w:r>
          </w:p>
        </w:tc>
        <w:tc>
          <w:tcPr>
            <w:tcW w:w="6346" w:type="dxa"/>
          </w:tcPr>
          <w:p w14:paraId="0DA076CA" w14:textId="77777777" w:rsidR="00A65FE6" w:rsidRDefault="00A65FE6" w:rsidP="005E1E97">
            <w:pPr>
              <w:ind w:firstLine="0"/>
              <w:jc w:val="center"/>
            </w:pPr>
            <w:r>
              <w:t>Research Questions</w:t>
            </w:r>
          </w:p>
        </w:tc>
      </w:tr>
      <w:tr w:rsidR="00A65FE6" w14:paraId="0D53EA3B" w14:textId="77777777" w:rsidTr="005E1E97">
        <w:tc>
          <w:tcPr>
            <w:tcW w:w="562" w:type="dxa"/>
          </w:tcPr>
          <w:p w14:paraId="0D9DB424" w14:textId="77777777" w:rsidR="00A65FE6" w:rsidRDefault="00A65FE6" w:rsidP="005E1E97">
            <w:pPr>
              <w:ind w:firstLine="0"/>
              <w:jc w:val="center"/>
            </w:pPr>
            <w:r>
              <w:t>1.</w:t>
            </w:r>
          </w:p>
        </w:tc>
        <w:tc>
          <w:tcPr>
            <w:tcW w:w="6346" w:type="dxa"/>
          </w:tcPr>
          <w:p w14:paraId="76148C36" w14:textId="77777777" w:rsidR="00A65FE6" w:rsidRDefault="00A65FE6" w:rsidP="005E1E97">
            <w:pPr>
              <w:ind w:firstLine="0"/>
            </w:pPr>
            <w:r w:rsidRPr="00F9418B">
              <w:t>To what extent is PjBL effective in improving the specific competencies students need to achieve the SDGs, especially 21st-century skills (such as critical thinking and creativity)?</w:t>
            </w:r>
          </w:p>
        </w:tc>
      </w:tr>
      <w:tr w:rsidR="00A65FE6" w14:paraId="45815EA3" w14:textId="77777777" w:rsidTr="005E1E97">
        <w:tc>
          <w:tcPr>
            <w:tcW w:w="562" w:type="dxa"/>
          </w:tcPr>
          <w:p w14:paraId="674DA196" w14:textId="77777777" w:rsidR="00A65FE6" w:rsidRDefault="00A65FE6" w:rsidP="005E1E97">
            <w:pPr>
              <w:ind w:firstLine="0"/>
              <w:jc w:val="center"/>
            </w:pPr>
            <w:r>
              <w:t>2.</w:t>
            </w:r>
          </w:p>
        </w:tc>
        <w:tc>
          <w:tcPr>
            <w:tcW w:w="6346" w:type="dxa"/>
          </w:tcPr>
          <w:p w14:paraId="283CF4A0" w14:textId="77777777" w:rsidR="00A65FE6" w:rsidRDefault="00A65FE6" w:rsidP="005E1E97">
            <w:pPr>
              <w:ind w:firstLine="0"/>
            </w:pPr>
            <w:r w:rsidRPr="00F9418B">
              <w:t>How does PjBL function as a mechanism to bridge the gap between theoretical awareness and SDG action implementation, and how does it affect students' motivation, self-efficacy, and sense of social responsibility?</w:t>
            </w:r>
          </w:p>
        </w:tc>
      </w:tr>
      <w:tr w:rsidR="00A65FE6" w14:paraId="7140A6E3" w14:textId="77777777" w:rsidTr="005E1E97">
        <w:tc>
          <w:tcPr>
            <w:tcW w:w="562" w:type="dxa"/>
          </w:tcPr>
          <w:p w14:paraId="0F187C1E" w14:textId="77777777" w:rsidR="00A65FE6" w:rsidRDefault="00A65FE6" w:rsidP="005E1E97">
            <w:pPr>
              <w:ind w:firstLine="0"/>
              <w:jc w:val="center"/>
            </w:pPr>
            <w:r>
              <w:t>3.</w:t>
            </w:r>
          </w:p>
        </w:tc>
        <w:tc>
          <w:tcPr>
            <w:tcW w:w="6346" w:type="dxa"/>
          </w:tcPr>
          <w:p w14:paraId="395E49C4" w14:textId="77777777" w:rsidR="00A65FE6" w:rsidRDefault="00A65FE6" w:rsidP="005E1E97">
            <w:pPr>
              <w:ind w:firstLine="0"/>
            </w:pPr>
            <w:r w:rsidRPr="00F9418B">
              <w:t>In what educational contexts has PjBL proven effective in integrating SDGs, and what are the most consistent implementation challenges and recommendations emerging from primary studies?</w:t>
            </w:r>
          </w:p>
        </w:tc>
      </w:tr>
    </w:tbl>
    <w:p w14:paraId="584F45A1" w14:textId="77777777" w:rsidR="00A65FE6" w:rsidRPr="008764E8" w:rsidRDefault="00A65FE6" w:rsidP="00A65FE6"/>
    <w:p w14:paraId="742F125E" w14:textId="77777777" w:rsidR="00A65FE6" w:rsidRDefault="00A65FE6" w:rsidP="00A65FE6">
      <w:pPr>
        <w:ind w:firstLine="0"/>
        <w:rPr>
          <w:b/>
          <w:bCs/>
          <w:i/>
          <w:iCs/>
        </w:rPr>
      </w:pPr>
      <w:r>
        <w:rPr>
          <w:b/>
          <w:bCs/>
          <w:i/>
          <w:iCs/>
        </w:rPr>
        <w:t>Locating Studies</w:t>
      </w:r>
    </w:p>
    <w:p w14:paraId="4CE09B08" w14:textId="77777777" w:rsidR="00A65FE6" w:rsidRDefault="00A65FE6" w:rsidP="00A65FE6">
      <w:pPr>
        <w:ind w:firstLine="0"/>
      </w:pPr>
      <w:r w:rsidRPr="00E70CB5">
        <w:t>A systematic search of primary literature was conducted in reputable scientific databases, primarily Scopus and Google Scholar, utilizing search software for efficient identification. Selected articles were limited to the period of publication after the adoption of the 2030 Agenda, namely between 2017 and 2025. During the search process, we employed Boolean operators (AND/OR) to combine key terms, such as “Project-based Learning,” “SDGs,” and “Education for Sustainable Development,” to obtain results that were specific and relevant to the study topic.</w:t>
      </w:r>
      <w:r>
        <w:t xml:space="preserve"> Table 2 shows the search</w:t>
      </w:r>
    </w:p>
    <w:p w14:paraId="5FA8578C" w14:textId="77777777" w:rsidR="00A65FE6" w:rsidRDefault="00A65FE6" w:rsidP="00A65FE6">
      <w:pPr>
        <w:ind w:firstLine="0"/>
      </w:pPr>
      <w:r>
        <w:t>keywords.</w:t>
      </w:r>
    </w:p>
    <w:p w14:paraId="5833874D" w14:textId="77777777" w:rsidR="00A65FE6" w:rsidRDefault="00A65FE6" w:rsidP="00A65FE6">
      <w:pPr>
        <w:pBdr>
          <w:top w:val="single" w:sz="4" w:space="1" w:color="auto"/>
        </w:pBdr>
        <w:ind w:firstLine="0"/>
        <w:jc w:val="center"/>
      </w:pPr>
      <w:r w:rsidRPr="00E70CB5">
        <w:rPr>
          <w:b/>
          <w:bCs/>
        </w:rPr>
        <w:t>Table 2</w:t>
      </w:r>
      <w:r w:rsidRPr="00E70CB5">
        <w:t>. Search Terms and Research Outcomes (20</w:t>
      </w:r>
      <w:r>
        <w:t>17</w:t>
      </w:r>
      <w:r w:rsidRPr="00E70CB5">
        <w:t>-2025)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668"/>
      </w:tblGrid>
      <w:tr w:rsidR="00A65FE6" w14:paraId="140C8612" w14:textId="77777777" w:rsidTr="005E1E97">
        <w:tc>
          <w:tcPr>
            <w:tcW w:w="3397" w:type="dxa"/>
          </w:tcPr>
          <w:p w14:paraId="4BDA6EF6" w14:textId="77777777" w:rsidR="00A65FE6" w:rsidRDefault="00A65FE6" w:rsidP="005E1E97">
            <w:pPr>
              <w:ind w:firstLine="0"/>
              <w:jc w:val="center"/>
            </w:pPr>
            <w:r>
              <w:t>Search Keyword</w:t>
            </w:r>
          </w:p>
        </w:tc>
        <w:tc>
          <w:tcPr>
            <w:tcW w:w="1843" w:type="dxa"/>
          </w:tcPr>
          <w:p w14:paraId="15DFB2FB" w14:textId="77777777" w:rsidR="00A65FE6" w:rsidRDefault="00A65FE6" w:rsidP="005E1E97">
            <w:pPr>
              <w:ind w:firstLine="0"/>
              <w:jc w:val="center"/>
            </w:pPr>
            <w:r>
              <w:t>Journal Database</w:t>
            </w:r>
          </w:p>
        </w:tc>
        <w:tc>
          <w:tcPr>
            <w:tcW w:w="1668" w:type="dxa"/>
          </w:tcPr>
          <w:p w14:paraId="41E1F1F8" w14:textId="77777777" w:rsidR="00A65FE6" w:rsidRDefault="00A65FE6" w:rsidP="005E1E97">
            <w:pPr>
              <w:ind w:firstLine="0"/>
              <w:jc w:val="center"/>
            </w:pPr>
            <w:r>
              <w:t>Search Result</w:t>
            </w:r>
          </w:p>
        </w:tc>
      </w:tr>
      <w:tr w:rsidR="00A65FE6" w14:paraId="492CCE50" w14:textId="77777777" w:rsidTr="005E1E97">
        <w:trPr>
          <w:trHeight w:val="420"/>
        </w:trPr>
        <w:tc>
          <w:tcPr>
            <w:tcW w:w="3397" w:type="dxa"/>
            <w:vMerge w:val="restart"/>
          </w:tcPr>
          <w:p w14:paraId="3F802540" w14:textId="77777777" w:rsidR="00A65FE6" w:rsidRDefault="00A65FE6" w:rsidP="005E1E97">
            <w:pPr>
              <w:ind w:firstLine="0"/>
            </w:pPr>
            <w:r w:rsidRPr="00E70CB5">
              <w:t>“Project-Based Learning” OR “PjBL” AND “Sustainable Development Goals” OR “SDGs” OR “Education for Sustainable Development” OR “ESD” OR “Impact” OR “Effectiveness” OR “Competencies” OR “Action”</w:t>
            </w:r>
          </w:p>
        </w:tc>
        <w:tc>
          <w:tcPr>
            <w:tcW w:w="1843" w:type="dxa"/>
            <w:vAlign w:val="center"/>
          </w:tcPr>
          <w:p w14:paraId="3221D162" w14:textId="77777777" w:rsidR="00A65FE6" w:rsidRDefault="00A65FE6" w:rsidP="005E1E97">
            <w:pPr>
              <w:ind w:firstLine="0"/>
              <w:jc w:val="center"/>
            </w:pPr>
            <w:r>
              <w:t>Scopus</w:t>
            </w:r>
          </w:p>
        </w:tc>
        <w:tc>
          <w:tcPr>
            <w:tcW w:w="1668" w:type="dxa"/>
            <w:vAlign w:val="center"/>
          </w:tcPr>
          <w:p w14:paraId="566A5ADE" w14:textId="77777777" w:rsidR="00A65FE6" w:rsidRDefault="00A65FE6" w:rsidP="005E1E97">
            <w:pPr>
              <w:ind w:firstLine="0"/>
              <w:jc w:val="center"/>
            </w:pPr>
            <w:r>
              <w:t>640</w:t>
            </w:r>
          </w:p>
        </w:tc>
      </w:tr>
      <w:tr w:rsidR="00A65FE6" w14:paraId="2BB46A0D" w14:textId="77777777" w:rsidTr="005E1E97">
        <w:trPr>
          <w:trHeight w:val="400"/>
        </w:trPr>
        <w:tc>
          <w:tcPr>
            <w:tcW w:w="3397" w:type="dxa"/>
            <w:vMerge/>
          </w:tcPr>
          <w:p w14:paraId="56F3C0D5" w14:textId="77777777" w:rsidR="00A65FE6" w:rsidRPr="00E70CB5" w:rsidRDefault="00A65FE6" w:rsidP="005E1E97">
            <w:pPr>
              <w:ind w:firstLine="0"/>
            </w:pPr>
          </w:p>
        </w:tc>
        <w:tc>
          <w:tcPr>
            <w:tcW w:w="1843" w:type="dxa"/>
            <w:vAlign w:val="center"/>
          </w:tcPr>
          <w:p w14:paraId="60398930" w14:textId="77777777" w:rsidR="00A65FE6" w:rsidRDefault="00A65FE6" w:rsidP="005E1E97">
            <w:pPr>
              <w:ind w:firstLine="0"/>
              <w:jc w:val="center"/>
            </w:pPr>
            <w:r>
              <w:t>Eric</w:t>
            </w:r>
          </w:p>
        </w:tc>
        <w:tc>
          <w:tcPr>
            <w:tcW w:w="1668" w:type="dxa"/>
            <w:vAlign w:val="center"/>
          </w:tcPr>
          <w:p w14:paraId="1A50E02A" w14:textId="77777777" w:rsidR="00A65FE6" w:rsidRDefault="00A65FE6" w:rsidP="005E1E97">
            <w:pPr>
              <w:ind w:firstLine="0"/>
              <w:jc w:val="center"/>
            </w:pPr>
            <w:r>
              <w:t>1134</w:t>
            </w:r>
          </w:p>
        </w:tc>
      </w:tr>
      <w:tr w:rsidR="00A65FE6" w14:paraId="1F1252E7" w14:textId="77777777" w:rsidTr="005E1E97">
        <w:trPr>
          <w:trHeight w:val="550"/>
        </w:trPr>
        <w:tc>
          <w:tcPr>
            <w:tcW w:w="3397" w:type="dxa"/>
            <w:vMerge/>
          </w:tcPr>
          <w:p w14:paraId="43553071" w14:textId="77777777" w:rsidR="00A65FE6" w:rsidRPr="00E70CB5" w:rsidRDefault="00A65FE6" w:rsidP="005E1E97">
            <w:pPr>
              <w:ind w:firstLine="0"/>
            </w:pPr>
          </w:p>
        </w:tc>
        <w:tc>
          <w:tcPr>
            <w:tcW w:w="1843" w:type="dxa"/>
            <w:vAlign w:val="center"/>
          </w:tcPr>
          <w:p w14:paraId="36302FF9" w14:textId="77777777" w:rsidR="00A65FE6" w:rsidRDefault="00A65FE6" w:rsidP="005E1E97">
            <w:pPr>
              <w:ind w:firstLine="0"/>
              <w:jc w:val="center"/>
            </w:pPr>
            <w:r>
              <w:t>Google Scholar</w:t>
            </w:r>
          </w:p>
        </w:tc>
        <w:tc>
          <w:tcPr>
            <w:tcW w:w="1668" w:type="dxa"/>
            <w:vAlign w:val="center"/>
          </w:tcPr>
          <w:p w14:paraId="71AD43E3" w14:textId="77777777" w:rsidR="00A65FE6" w:rsidRDefault="00A65FE6" w:rsidP="005E1E97">
            <w:pPr>
              <w:ind w:firstLine="0"/>
              <w:jc w:val="center"/>
            </w:pPr>
            <w:r>
              <w:t>780</w:t>
            </w:r>
          </w:p>
        </w:tc>
      </w:tr>
    </w:tbl>
    <w:p w14:paraId="1D033014" w14:textId="77777777" w:rsidR="00A65FE6" w:rsidRPr="00E70CB5" w:rsidRDefault="00A65FE6" w:rsidP="00A65FE6">
      <w:pPr>
        <w:ind w:firstLine="0"/>
      </w:pPr>
    </w:p>
    <w:p w14:paraId="1E581FAC" w14:textId="77777777" w:rsidR="00A65FE6" w:rsidRPr="00E70CB5" w:rsidRDefault="00A65FE6" w:rsidP="00A65FE6">
      <w:pPr>
        <w:ind w:firstLine="0"/>
        <w:rPr>
          <w:b/>
          <w:bCs/>
          <w:i/>
          <w:iCs/>
        </w:rPr>
      </w:pPr>
      <w:r w:rsidRPr="00E70CB5">
        <w:rPr>
          <w:b/>
          <w:bCs/>
          <w:i/>
          <w:iCs/>
        </w:rPr>
        <w:t>Study Selection and Evaluation</w:t>
      </w:r>
    </w:p>
    <w:p w14:paraId="35C3CA00" w14:textId="77777777" w:rsidR="00A65FE6" w:rsidRDefault="00A65FE6" w:rsidP="00A65FE6">
      <w:pPr>
        <w:ind w:firstLine="0"/>
      </w:pPr>
      <w:r>
        <w:t>Many scientific journal articles were not relevant to the focus of this research and could not be used to answer the research questions. Therefore, a careful literature selection process was conducted. This process aimed to assess the suitability of the articles to the predefined inclusion criteria. Articles that met the exclusion criteria were removed from the analysis. The inclusion and exclusion criteria are shown in Table 3.</w:t>
      </w:r>
    </w:p>
    <w:p w14:paraId="3329248A" w14:textId="77777777" w:rsidR="00A65FE6" w:rsidRDefault="00A65FE6" w:rsidP="00A65FE6">
      <w:pPr>
        <w:ind w:firstLine="0"/>
      </w:pPr>
    </w:p>
    <w:p w14:paraId="70E190B8" w14:textId="77777777" w:rsidR="00A65FE6" w:rsidRDefault="00A65FE6" w:rsidP="00A65FE6">
      <w:pPr>
        <w:ind w:firstLine="0"/>
        <w:jc w:val="center"/>
        <w:rPr>
          <w:b/>
          <w:bCs/>
        </w:rPr>
      </w:pPr>
    </w:p>
    <w:p w14:paraId="17DFAB7C" w14:textId="77777777" w:rsidR="00A65FE6" w:rsidRDefault="00A65FE6" w:rsidP="00A65FE6">
      <w:pPr>
        <w:ind w:firstLine="0"/>
        <w:jc w:val="center"/>
        <w:rPr>
          <w:b/>
          <w:bCs/>
        </w:rPr>
      </w:pPr>
    </w:p>
    <w:p w14:paraId="10BC5DD4" w14:textId="77777777" w:rsidR="00A65FE6" w:rsidRDefault="00A65FE6" w:rsidP="00A65FE6">
      <w:pPr>
        <w:ind w:firstLine="0"/>
        <w:jc w:val="center"/>
        <w:rPr>
          <w:b/>
          <w:bCs/>
        </w:rPr>
      </w:pPr>
    </w:p>
    <w:p w14:paraId="2A521FB5" w14:textId="77777777" w:rsidR="00A65FE6" w:rsidRDefault="00A65FE6" w:rsidP="00A65FE6">
      <w:pPr>
        <w:ind w:firstLine="0"/>
        <w:jc w:val="center"/>
        <w:rPr>
          <w:b/>
          <w:bCs/>
        </w:rPr>
      </w:pPr>
    </w:p>
    <w:p w14:paraId="4C6B80FF" w14:textId="256838A7" w:rsidR="00A65FE6" w:rsidRDefault="00A65FE6" w:rsidP="00A65FE6">
      <w:pPr>
        <w:ind w:firstLine="0"/>
        <w:jc w:val="center"/>
      </w:pPr>
      <w:r w:rsidRPr="000D115E">
        <w:rPr>
          <w:b/>
          <w:bCs/>
        </w:rPr>
        <w:lastRenderedPageBreak/>
        <w:t>Table 3</w:t>
      </w:r>
      <w:r>
        <w:t xml:space="preserve">. </w:t>
      </w:r>
      <w:r w:rsidRPr="000D115E">
        <w:t>Inclusion and Exclusion Criteria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454"/>
        <w:gridCol w:w="3454"/>
      </w:tblGrid>
      <w:tr w:rsidR="00A65FE6" w:rsidRPr="000D115E" w14:paraId="7D0C0677" w14:textId="77777777" w:rsidTr="005E1E97">
        <w:trPr>
          <w:tblHeader/>
        </w:trPr>
        <w:tc>
          <w:tcPr>
            <w:tcW w:w="3454" w:type="dxa"/>
            <w:tcBorders>
              <w:bottom w:val="single" w:sz="4" w:space="0" w:color="auto"/>
            </w:tcBorders>
          </w:tcPr>
          <w:p w14:paraId="53409FAF" w14:textId="77777777" w:rsidR="00A65FE6" w:rsidRPr="000D115E" w:rsidRDefault="00A65FE6" w:rsidP="005E1E97">
            <w:pPr>
              <w:ind w:firstLine="0"/>
              <w:jc w:val="center"/>
            </w:pPr>
            <w:r w:rsidRPr="000D115E">
              <w:t>Inclusion Criteria</w:t>
            </w:r>
          </w:p>
        </w:tc>
        <w:tc>
          <w:tcPr>
            <w:tcW w:w="3454" w:type="dxa"/>
            <w:tcBorders>
              <w:bottom w:val="single" w:sz="4" w:space="0" w:color="auto"/>
            </w:tcBorders>
          </w:tcPr>
          <w:p w14:paraId="713AEFBC" w14:textId="77777777" w:rsidR="00A65FE6" w:rsidRPr="000D115E" w:rsidRDefault="00A65FE6" w:rsidP="005E1E97">
            <w:pPr>
              <w:ind w:firstLine="0"/>
              <w:jc w:val="center"/>
            </w:pPr>
            <w:r w:rsidRPr="000D115E">
              <w:t>Exclusion Criteria</w:t>
            </w:r>
          </w:p>
        </w:tc>
      </w:tr>
      <w:tr w:rsidR="00A65FE6" w:rsidRPr="000D115E" w14:paraId="70413BD3" w14:textId="77777777" w:rsidTr="005E1E97">
        <w:tc>
          <w:tcPr>
            <w:tcW w:w="3454" w:type="dxa"/>
            <w:tcBorders>
              <w:bottom w:val="nil"/>
            </w:tcBorders>
          </w:tcPr>
          <w:p w14:paraId="5160F725" w14:textId="77777777" w:rsidR="00A65FE6" w:rsidRPr="000D115E" w:rsidRDefault="00A65FE6" w:rsidP="005E1E97">
            <w:pPr>
              <w:ind w:firstLine="0"/>
            </w:pPr>
            <w:r w:rsidRPr="000D115E">
              <w:t>Must be a primary empirical study (Experiment, Quasi-Experiment, Action Research, or In-Depth Case Study).</w:t>
            </w:r>
          </w:p>
        </w:tc>
        <w:tc>
          <w:tcPr>
            <w:tcW w:w="3454" w:type="dxa"/>
            <w:tcBorders>
              <w:bottom w:val="nil"/>
            </w:tcBorders>
          </w:tcPr>
          <w:p w14:paraId="0FF62049" w14:textId="77777777" w:rsidR="00A65FE6" w:rsidRPr="000D115E" w:rsidRDefault="00A65FE6" w:rsidP="005E1E97">
            <w:pPr>
              <w:ind w:firstLine="0"/>
            </w:pPr>
            <w:r w:rsidRPr="000D115E">
              <w:t>Literature Reviews (Systematic, Narrative, Meta-Analysis) or book chapters.</w:t>
            </w:r>
          </w:p>
        </w:tc>
      </w:tr>
      <w:tr w:rsidR="00A65FE6" w:rsidRPr="000D115E" w14:paraId="1C44815A" w14:textId="77777777" w:rsidTr="005E1E97">
        <w:tc>
          <w:tcPr>
            <w:tcW w:w="3454" w:type="dxa"/>
            <w:tcBorders>
              <w:top w:val="nil"/>
              <w:bottom w:val="nil"/>
            </w:tcBorders>
          </w:tcPr>
          <w:p w14:paraId="11A10D69" w14:textId="77777777" w:rsidR="00A65FE6" w:rsidRPr="000D115E" w:rsidRDefault="00A65FE6" w:rsidP="005E1E97">
            <w:pPr>
              <w:ind w:firstLine="0"/>
            </w:pPr>
            <w:r w:rsidRPr="000D115E">
              <w:t>Explicitly examines the impact of PJBL on competencies, awareness, or actions related to SDGs/ESD.</w:t>
            </w:r>
          </w:p>
        </w:tc>
        <w:tc>
          <w:tcPr>
            <w:tcW w:w="3454" w:type="dxa"/>
            <w:tcBorders>
              <w:top w:val="nil"/>
              <w:bottom w:val="nil"/>
            </w:tcBorders>
          </w:tcPr>
          <w:p w14:paraId="6A8C1D14" w14:textId="77777777" w:rsidR="00A65FE6" w:rsidRPr="000D115E" w:rsidRDefault="00A65FE6" w:rsidP="005E1E97">
            <w:pPr>
              <w:ind w:firstLine="0"/>
            </w:pPr>
            <w:r w:rsidRPr="000D115E">
              <w:t>Articles that only discuss PJBL or SDGs theoretically without empirical data.</w:t>
            </w:r>
          </w:p>
        </w:tc>
      </w:tr>
      <w:tr w:rsidR="00A65FE6" w:rsidRPr="000D115E" w14:paraId="4FB7E2AE" w14:textId="77777777" w:rsidTr="005E1E97">
        <w:tc>
          <w:tcPr>
            <w:tcW w:w="3454" w:type="dxa"/>
            <w:tcBorders>
              <w:top w:val="nil"/>
            </w:tcBorders>
          </w:tcPr>
          <w:p w14:paraId="0B23218E" w14:textId="77777777" w:rsidR="00A65FE6" w:rsidRPr="000D115E" w:rsidRDefault="00A65FE6" w:rsidP="005E1E97">
            <w:pPr>
              <w:ind w:firstLine="0"/>
            </w:pPr>
            <w:r w:rsidRPr="000D115E">
              <w:t>Published within the time frame of 2017–2025.</w:t>
            </w:r>
          </w:p>
        </w:tc>
        <w:tc>
          <w:tcPr>
            <w:tcW w:w="3454" w:type="dxa"/>
            <w:tcBorders>
              <w:top w:val="nil"/>
            </w:tcBorders>
          </w:tcPr>
          <w:p w14:paraId="5DCAFF7A" w14:textId="77777777" w:rsidR="00A65FE6" w:rsidRPr="000D115E" w:rsidRDefault="00A65FE6" w:rsidP="005E1E97">
            <w:pPr>
              <w:ind w:firstLine="0"/>
            </w:pPr>
            <w:r w:rsidRPr="000D115E">
              <w:t>Publications before the year 2017.</w:t>
            </w:r>
          </w:p>
        </w:tc>
      </w:tr>
    </w:tbl>
    <w:p w14:paraId="5C80149C" w14:textId="77777777" w:rsidR="00A65FE6" w:rsidRPr="00E33E14" w:rsidRDefault="00A65FE6" w:rsidP="00A65FE6">
      <w:pPr>
        <w:ind w:firstLine="0"/>
      </w:pPr>
    </w:p>
    <w:p w14:paraId="38A397FD" w14:textId="77777777" w:rsidR="00A65FE6" w:rsidRPr="000D115E" w:rsidRDefault="00A65FE6" w:rsidP="00A65FE6">
      <w:pPr>
        <w:pStyle w:val="p1a"/>
        <w:rPr>
          <w:b/>
          <w:bCs/>
          <w:i/>
          <w:iCs/>
          <w:lang w:val="en-ID"/>
        </w:rPr>
      </w:pPr>
      <w:r w:rsidRPr="000D115E">
        <w:rPr>
          <w:b/>
          <w:bCs/>
          <w:i/>
          <w:iCs/>
          <w:lang w:val="en-ID"/>
        </w:rPr>
        <w:t xml:space="preserve">Study Screening and Selection Process </w:t>
      </w:r>
    </w:p>
    <w:p w14:paraId="770A8D4A" w14:textId="77777777" w:rsidR="00A65FE6" w:rsidRDefault="00A65FE6" w:rsidP="00A65FE6">
      <w:pPr>
        <w:pStyle w:val="p1a"/>
      </w:pPr>
      <w:r w:rsidRPr="00E1100E">
        <w:t>The article selection process was conducted in stages to ensure transparency, following the Preferred Reporting Items for Systematic Reviews and Meta-Analyses (PRISMA) guidelines. From this selection, 17 primary articles were obtained to form the final study corpus.</w:t>
      </w:r>
    </w:p>
    <w:p w14:paraId="6ADB3B8D" w14:textId="77777777" w:rsidR="00A65FE6" w:rsidRDefault="00A65FE6" w:rsidP="00A65FE6">
      <w:r w:rsidRPr="0058783A">
        <w:rPr>
          <w:noProof/>
        </w:rPr>
        <w:drawing>
          <wp:inline distT="0" distB="0" distL="0" distR="0" wp14:anchorId="0F003DF0" wp14:editId="1754E739">
            <wp:extent cx="4392930" cy="3888105"/>
            <wp:effectExtent l="0" t="0" r="7620" b="0"/>
            <wp:docPr id="18830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8360" name=""/>
                    <pic:cNvPicPr/>
                  </pic:nvPicPr>
                  <pic:blipFill>
                    <a:blip r:embed="rId5"/>
                    <a:stretch>
                      <a:fillRect/>
                    </a:stretch>
                  </pic:blipFill>
                  <pic:spPr>
                    <a:xfrm>
                      <a:off x="0" y="0"/>
                      <a:ext cx="4392930" cy="3888105"/>
                    </a:xfrm>
                    <a:prstGeom prst="rect">
                      <a:avLst/>
                    </a:prstGeom>
                  </pic:spPr>
                </pic:pic>
              </a:graphicData>
            </a:graphic>
          </wp:inline>
        </w:drawing>
      </w:r>
    </w:p>
    <w:p w14:paraId="7788912C" w14:textId="77777777" w:rsidR="00A65FE6" w:rsidRPr="0058783A" w:rsidRDefault="00A65FE6" w:rsidP="00A65FE6">
      <w:pPr>
        <w:jc w:val="center"/>
      </w:pPr>
      <w:r>
        <w:t>Figure 1. PRISMA Flow</w:t>
      </w:r>
    </w:p>
    <w:p w14:paraId="4D36360D" w14:textId="77777777" w:rsidR="00A65FE6" w:rsidRPr="00E1100E" w:rsidRDefault="00A65FE6" w:rsidP="00A65FE6"/>
    <w:p w14:paraId="620DFB22" w14:textId="77777777" w:rsidR="00A65FE6" w:rsidRDefault="00A65FE6" w:rsidP="00A65FE6">
      <w:pPr>
        <w:ind w:firstLine="0"/>
        <w:rPr>
          <w:b/>
          <w:bCs/>
          <w:i/>
          <w:iCs/>
          <w:lang w:val="en-ID"/>
        </w:rPr>
      </w:pPr>
    </w:p>
    <w:p w14:paraId="33C46E4F" w14:textId="2B972FB5" w:rsidR="00A65FE6" w:rsidRPr="00E1100E" w:rsidRDefault="00A65FE6" w:rsidP="00A65FE6">
      <w:pPr>
        <w:ind w:firstLine="0"/>
        <w:rPr>
          <w:b/>
          <w:bCs/>
          <w:i/>
          <w:iCs/>
          <w:lang w:val="en-ID"/>
        </w:rPr>
      </w:pPr>
      <w:r w:rsidRPr="00E1100E">
        <w:rPr>
          <w:b/>
          <w:bCs/>
          <w:i/>
          <w:iCs/>
          <w:lang w:val="en-ID"/>
        </w:rPr>
        <w:lastRenderedPageBreak/>
        <w:t>Data Analysis and Synthesis</w:t>
      </w:r>
    </w:p>
    <w:p w14:paraId="11C8A185" w14:textId="77777777" w:rsidR="00A65FE6" w:rsidRDefault="00A65FE6" w:rsidP="00A65FE6">
      <w:pPr>
        <w:ind w:firstLine="0"/>
        <w:rPr>
          <w:lang w:val="en-ID"/>
        </w:rPr>
      </w:pPr>
      <w:r w:rsidRPr="00E1100E">
        <w:rPr>
          <w:lang w:val="en-ID"/>
        </w:rPr>
        <w:t>Data from 17 primary studies were extracted and analyzed using an inductive qualitative thematic analysis approach. This analysis included grouping based on Cognitive Impact, Affective Mechanisms, and Context and Implementation Challenges. This thematic synthesis ensures that the SLR results can provide a structured, comprehensive, and interpretively deep picture of the role of PjBL in achieving the SDGs.</w:t>
      </w:r>
    </w:p>
    <w:p w14:paraId="58E93678" w14:textId="77777777" w:rsidR="00A65FE6" w:rsidRPr="00E1100E" w:rsidRDefault="00A65FE6" w:rsidP="00A65FE6">
      <w:pPr>
        <w:pStyle w:val="heading1"/>
        <w:spacing w:before="0" w:after="0"/>
        <w:rPr>
          <w:lang w:val="en-ID"/>
        </w:rPr>
      </w:pPr>
      <w:r>
        <w:rPr>
          <w:lang w:val="en-ID"/>
        </w:rPr>
        <w:t>Result and Discussion</w:t>
      </w:r>
    </w:p>
    <w:p w14:paraId="05DB7A8E" w14:textId="77777777" w:rsidR="00A65FE6" w:rsidRDefault="00A65FE6" w:rsidP="00A65FE6">
      <w:pPr>
        <w:ind w:firstLine="0"/>
      </w:pPr>
      <w:r w:rsidRPr="00F801B7">
        <w:t>The results of this systematic review are presented thematically, grouping findings from 17 primary studies based on predetermined Research Questions.</w:t>
      </w:r>
    </w:p>
    <w:p w14:paraId="4FF94EB6" w14:textId="77777777" w:rsidR="00A65FE6" w:rsidRDefault="00A65FE6" w:rsidP="00A65FE6">
      <w:pPr>
        <w:ind w:firstLine="0"/>
      </w:pPr>
    </w:p>
    <w:p w14:paraId="2A4D6DA4" w14:textId="77777777" w:rsidR="00A65FE6" w:rsidRPr="000751C6" w:rsidRDefault="00A65FE6" w:rsidP="00A65FE6">
      <w:pPr>
        <w:pStyle w:val="heading2"/>
        <w:spacing w:before="0" w:after="0"/>
        <w:jc w:val="both"/>
      </w:pPr>
      <w:r w:rsidRPr="00F9418B">
        <w:t xml:space="preserve">To what extent is PjBL effective in improving the specific competencies students need to achieve the SDGs, especially 21st-century skills </w:t>
      </w:r>
    </w:p>
    <w:p w14:paraId="7773F807" w14:textId="77777777" w:rsidR="00A65FE6" w:rsidRPr="00F801B7" w:rsidRDefault="00A65FE6" w:rsidP="00A65FE6">
      <w:pPr>
        <w:pStyle w:val="p1a"/>
        <w:rPr>
          <w:lang w:val="en-ID"/>
        </w:rPr>
      </w:pPr>
      <w:r w:rsidRPr="00F801B7">
        <w:rPr>
          <w:lang w:val="en-ID"/>
        </w:rPr>
        <w:t xml:space="preserve">To answer </w:t>
      </w:r>
      <w:r>
        <w:rPr>
          <w:lang w:val="en-ID"/>
        </w:rPr>
        <w:t>the research question</w:t>
      </w:r>
      <w:r w:rsidRPr="00F801B7">
        <w:rPr>
          <w:lang w:val="en-ID"/>
        </w:rPr>
        <w:t xml:space="preserve"> regarding the effectiveness of PjBL in improving students' specific competencies, Table 1 presents a synthesis of the consistent impact of PjBL on Higher Order Thinking Skills (HOTS) and 21st Century Skills relevant to the achievement of Sustainable Development Goals (SDGs).</w:t>
      </w:r>
    </w:p>
    <w:p w14:paraId="36FF2160" w14:textId="77777777" w:rsidR="00A65FE6" w:rsidRDefault="00A65FE6" w:rsidP="00A65FE6">
      <w:pPr>
        <w:pStyle w:val="heading2"/>
        <w:numPr>
          <w:ilvl w:val="0"/>
          <w:numId w:val="0"/>
        </w:numPr>
        <w:spacing w:before="0"/>
        <w:ind w:left="567" w:hanging="567"/>
        <w:jc w:val="center"/>
        <w:rPr>
          <w:b w:val="0"/>
          <w:bCs/>
          <w:lang w:val="en-ID"/>
        </w:rPr>
      </w:pPr>
      <w:r>
        <w:rPr>
          <w:lang w:val="en-ID"/>
        </w:rPr>
        <w:t xml:space="preserve">Tabel 4. </w:t>
      </w:r>
      <w:r w:rsidRPr="00F801B7">
        <w:rPr>
          <w:b w:val="0"/>
          <w:bCs/>
          <w:lang w:val="en-ID"/>
        </w:rPr>
        <w:t>The Effectiveness of PjBL: Impact on Cognitive Constructs and 21st Century Skills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6"/>
        <w:gridCol w:w="3452"/>
        <w:gridCol w:w="1550"/>
      </w:tblGrid>
      <w:tr w:rsidR="00A65FE6" w14:paraId="6A22AC2C" w14:textId="77777777" w:rsidTr="005E1E97">
        <w:trPr>
          <w:tblHeader/>
        </w:trPr>
        <w:tc>
          <w:tcPr>
            <w:tcW w:w="1838" w:type="dxa"/>
            <w:tcBorders>
              <w:bottom w:val="single" w:sz="4" w:space="0" w:color="auto"/>
            </w:tcBorders>
            <w:vAlign w:val="center"/>
          </w:tcPr>
          <w:p w14:paraId="74B02B06" w14:textId="77777777" w:rsidR="00A65FE6" w:rsidRDefault="00A65FE6" w:rsidP="005E1E97">
            <w:pPr>
              <w:pStyle w:val="p1a"/>
              <w:jc w:val="center"/>
              <w:rPr>
                <w:lang w:val="en-ID"/>
              </w:rPr>
            </w:pPr>
            <w:r w:rsidRPr="000C0317">
              <w:t>Main Construct/Dependent Variable</w:t>
            </w:r>
          </w:p>
        </w:tc>
        <w:tc>
          <w:tcPr>
            <w:tcW w:w="3827" w:type="dxa"/>
            <w:tcBorders>
              <w:bottom w:val="single" w:sz="4" w:space="0" w:color="auto"/>
            </w:tcBorders>
            <w:vAlign w:val="center"/>
          </w:tcPr>
          <w:p w14:paraId="256F8C81" w14:textId="77777777" w:rsidR="00A65FE6" w:rsidRDefault="00A65FE6" w:rsidP="005E1E97">
            <w:pPr>
              <w:pStyle w:val="p1a"/>
              <w:jc w:val="center"/>
              <w:rPr>
                <w:lang w:val="en-ID"/>
              </w:rPr>
            </w:pPr>
            <w:r w:rsidRPr="000C0317">
              <w:t>Key Measured Dimension</w:t>
            </w:r>
          </w:p>
        </w:tc>
        <w:tc>
          <w:tcPr>
            <w:tcW w:w="1243" w:type="dxa"/>
            <w:tcBorders>
              <w:bottom w:val="single" w:sz="4" w:space="0" w:color="auto"/>
            </w:tcBorders>
            <w:vAlign w:val="center"/>
          </w:tcPr>
          <w:p w14:paraId="436DE623" w14:textId="77777777" w:rsidR="00A65FE6" w:rsidRDefault="00A65FE6" w:rsidP="005E1E97">
            <w:pPr>
              <w:pStyle w:val="p1a"/>
              <w:jc w:val="center"/>
              <w:rPr>
                <w:lang w:val="en-ID"/>
              </w:rPr>
            </w:pPr>
            <w:r w:rsidRPr="000C0317">
              <w:t>Supporting Methodology</w:t>
            </w:r>
          </w:p>
        </w:tc>
      </w:tr>
      <w:tr w:rsidR="00A65FE6" w14:paraId="1180834E" w14:textId="77777777" w:rsidTr="005E1E97">
        <w:tc>
          <w:tcPr>
            <w:tcW w:w="1838" w:type="dxa"/>
            <w:tcBorders>
              <w:bottom w:val="single" w:sz="4" w:space="0" w:color="auto"/>
              <w:right w:val="nil"/>
            </w:tcBorders>
          </w:tcPr>
          <w:p w14:paraId="4F33FD8F" w14:textId="77777777" w:rsidR="00A65FE6" w:rsidRDefault="00A65FE6" w:rsidP="005E1E97">
            <w:pPr>
              <w:pStyle w:val="p1a"/>
              <w:rPr>
                <w:lang w:val="en-ID"/>
              </w:rPr>
            </w:pPr>
            <w:r w:rsidRPr="000C0317">
              <w:t>Higher-Order Cognitive Skills (HOTS)</w:t>
            </w:r>
          </w:p>
        </w:tc>
        <w:tc>
          <w:tcPr>
            <w:tcW w:w="3827" w:type="dxa"/>
            <w:tcBorders>
              <w:left w:val="nil"/>
              <w:bottom w:val="single" w:sz="4" w:space="0" w:color="auto"/>
              <w:right w:val="nil"/>
            </w:tcBorders>
          </w:tcPr>
          <w:p w14:paraId="18932E2B" w14:textId="77777777" w:rsidR="00A65FE6" w:rsidRPr="000C0317" w:rsidRDefault="00A65FE6" w:rsidP="005E1E97">
            <w:pPr>
              <w:pStyle w:val="p1a"/>
              <w:rPr>
                <w:lang w:val="en-ID"/>
              </w:rPr>
            </w:pPr>
            <w:r w:rsidRPr="000C0317">
              <w:t>Critical Thinking (</w:t>
            </w:r>
            <w:r w:rsidRPr="000C0317">
              <w:rPr>
                <w:i/>
                <w:iCs/>
              </w:rPr>
              <w:t>Critical Thinking</w:t>
            </w:r>
            <w:r w:rsidRPr="000C0317">
              <w:t>) &amp; Problem Solving (</w:t>
            </w:r>
            <w:r w:rsidRPr="000C0317">
              <w:rPr>
                <w:i/>
                <w:iCs/>
              </w:rPr>
              <w:t>Problem Solving</w:t>
            </w:r>
            <w:r w:rsidRPr="000C0317">
              <w:t>): Significant increase in problem formulation, information analysis, and evidence-based decision-making.</w:t>
            </w:r>
          </w:p>
        </w:tc>
        <w:tc>
          <w:tcPr>
            <w:tcW w:w="1243" w:type="dxa"/>
            <w:tcBorders>
              <w:left w:val="nil"/>
              <w:bottom w:val="single" w:sz="4" w:space="0" w:color="auto"/>
            </w:tcBorders>
          </w:tcPr>
          <w:p w14:paraId="615EEB94" w14:textId="036F6075" w:rsidR="00A65FE6" w:rsidRDefault="00A65FE6" w:rsidP="005E1E97">
            <w:pPr>
              <w:pStyle w:val="p1a"/>
              <w:rPr>
                <w:lang w:val="en-ID"/>
              </w:rPr>
            </w:pPr>
            <w:r>
              <w:rPr>
                <w:lang w:val="en-ID"/>
              </w:rPr>
              <w:t>[11,13,15,23,25]</w:t>
            </w:r>
          </w:p>
        </w:tc>
      </w:tr>
      <w:tr w:rsidR="00A65FE6" w14:paraId="26F2A6A5" w14:textId="77777777" w:rsidTr="005E1E97">
        <w:tc>
          <w:tcPr>
            <w:tcW w:w="1838" w:type="dxa"/>
            <w:tcBorders>
              <w:top w:val="single" w:sz="4" w:space="0" w:color="auto"/>
              <w:bottom w:val="single" w:sz="4" w:space="0" w:color="auto"/>
              <w:right w:val="nil"/>
            </w:tcBorders>
          </w:tcPr>
          <w:p w14:paraId="0A3A0874" w14:textId="77777777" w:rsidR="00A65FE6" w:rsidRDefault="00A65FE6" w:rsidP="005E1E97">
            <w:pPr>
              <w:pStyle w:val="p1a"/>
              <w:rPr>
                <w:lang w:val="en-ID"/>
              </w:rPr>
            </w:pPr>
            <w:r w:rsidRPr="000C0317">
              <w:t>Innovation &amp; Creativity</w:t>
            </w:r>
          </w:p>
        </w:tc>
        <w:tc>
          <w:tcPr>
            <w:tcW w:w="3827" w:type="dxa"/>
            <w:tcBorders>
              <w:top w:val="single" w:sz="4" w:space="0" w:color="auto"/>
              <w:left w:val="nil"/>
              <w:bottom w:val="single" w:sz="4" w:space="0" w:color="auto"/>
              <w:right w:val="nil"/>
            </w:tcBorders>
          </w:tcPr>
          <w:p w14:paraId="6F62F7B2" w14:textId="77777777" w:rsidR="00A65FE6" w:rsidRPr="000C0317" w:rsidRDefault="00A65FE6" w:rsidP="005E1E97">
            <w:pPr>
              <w:pStyle w:val="p1a"/>
              <w:rPr>
                <w:lang w:val="en-ID"/>
              </w:rPr>
            </w:pPr>
            <w:r w:rsidRPr="000C0317">
              <w:t>Product Creativity &amp; Conceptual Innovation: Enhanced ability to generate new ideas (</w:t>
            </w:r>
            <w:r w:rsidRPr="000C0317">
              <w:rPr>
                <w:i/>
                <w:iCs/>
              </w:rPr>
              <w:t>fluency</w:t>
            </w:r>
            <w:r w:rsidRPr="000C0317">
              <w:t>) and authentic solutions (</w:t>
            </w:r>
            <w:r w:rsidRPr="000C0317">
              <w:rPr>
                <w:i/>
                <w:iCs/>
              </w:rPr>
              <w:t>originality</w:t>
            </w:r>
            <w:r w:rsidRPr="000C0317">
              <w:t>), often supported by technology</w:t>
            </w:r>
          </w:p>
        </w:tc>
        <w:tc>
          <w:tcPr>
            <w:tcW w:w="1243" w:type="dxa"/>
            <w:tcBorders>
              <w:top w:val="single" w:sz="4" w:space="0" w:color="auto"/>
              <w:left w:val="nil"/>
              <w:bottom w:val="single" w:sz="4" w:space="0" w:color="auto"/>
            </w:tcBorders>
          </w:tcPr>
          <w:p w14:paraId="42C5524A" w14:textId="2B056AD2" w:rsidR="00A65FE6" w:rsidRDefault="00A65FE6" w:rsidP="005E1E97">
            <w:pPr>
              <w:pStyle w:val="p1a"/>
              <w:rPr>
                <w:lang w:val="en-ID"/>
              </w:rPr>
            </w:pPr>
            <w:r>
              <w:t>[14,16,23,25]</w:t>
            </w:r>
          </w:p>
        </w:tc>
      </w:tr>
      <w:tr w:rsidR="00A65FE6" w14:paraId="30DDB7D8" w14:textId="77777777" w:rsidTr="005E1E97">
        <w:tc>
          <w:tcPr>
            <w:tcW w:w="1838" w:type="dxa"/>
            <w:tcBorders>
              <w:top w:val="single" w:sz="4" w:space="0" w:color="auto"/>
              <w:bottom w:val="single" w:sz="4" w:space="0" w:color="auto"/>
              <w:right w:val="nil"/>
            </w:tcBorders>
          </w:tcPr>
          <w:p w14:paraId="45EFBF8A" w14:textId="77777777" w:rsidR="00A65FE6" w:rsidRDefault="00A65FE6" w:rsidP="005E1E97">
            <w:pPr>
              <w:pStyle w:val="p1a"/>
              <w:rPr>
                <w:lang w:val="en-ID"/>
              </w:rPr>
            </w:pPr>
            <w:r w:rsidRPr="000C0317">
              <w:t>Disciplinary Technical Competence</w:t>
            </w:r>
          </w:p>
        </w:tc>
        <w:tc>
          <w:tcPr>
            <w:tcW w:w="3827" w:type="dxa"/>
            <w:tcBorders>
              <w:top w:val="single" w:sz="4" w:space="0" w:color="auto"/>
              <w:left w:val="nil"/>
              <w:bottom w:val="single" w:sz="4" w:space="0" w:color="auto"/>
              <w:right w:val="nil"/>
            </w:tcBorders>
          </w:tcPr>
          <w:p w14:paraId="1993E26F" w14:textId="77777777" w:rsidR="00A65FE6" w:rsidRDefault="00A65FE6" w:rsidP="005E1E97">
            <w:pPr>
              <w:pStyle w:val="p1a"/>
              <w:rPr>
                <w:lang w:val="en-ID"/>
              </w:rPr>
            </w:pPr>
            <w:r w:rsidRPr="000C0317">
              <w:t>Increased mastery of applied concepts (</w:t>
            </w:r>
            <w:r w:rsidRPr="000C0317">
              <w:rPr>
                <w:i/>
                <w:iCs/>
              </w:rPr>
              <w:t>e.g., green chemistry</w:t>
            </w:r>
            <w:r w:rsidRPr="000C0317">
              <w:t>, renewable energy systems) and practical engineering/implementation skills.</w:t>
            </w:r>
          </w:p>
        </w:tc>
        <w:tc>
          <w:tcPr>
            <w:tcW w:w="1243" w:type="dxa"/>
            <w:tcBorders>
              <w:top w:val="single" w:sz="4" w:space="0" w:color="auto"/>
              <w:left w:val="nil"/>
              <w:bottom w:val="single" w:sz="4" w:space="0" w:color="auto"/>
            </w:tcBorders>
          </w:tcPr>
          <w:p w14:paraId="596272DF" w14:textId="7ABCBEE1" w:rsidR="00A65FE6" w:rsidRDefault="00A65FE6" w:rsidP="005E1E97">
            <w:pPr>
              <w:pStyle w:val="p1a"/>
              <w:rPr>
                <w:lang w:val="en-ID"/>
              </w:rPr>
            </w:pPr>
            <w:r>
              <w:t>[14,21,24,25}</w:t>
            </w:r>
          </w:p>
        </w:tc>
      </w:tr>
      <w:tr w:rsidR="00A65FE6" w14:paraId="0A4EB8F5" w14:textId="77777777" w:rsidTr="005E1E97">
        <w:tc>
          <w:tcPr>
            <w:tcW w:w="1838" w:type="dxa"/>
            <w:tcBorders>
              <w:top w:val="single" w:sz="4" w:space="0" w:color="auto"/>
              <w:right w:val="nil"/>
            </w:tcBorders>
          </w:tcPr>
          <w:p w14:paraId="44E2A359" w14:textId="77777777" w:rsidR="00A65FE6" w:rsidRPr="000C0317" w:rsidRDefault="00A65FE6" w:rsidP="005E1E97">
            <w:pPr>
              <w:pStyle w:val="p1a"/>
            </w:pPr>
            <w:r w:rsidRPr="000C0317">
              <w:t>Effective Communication</w:t>
            </w:r>
          </w:p>
        </w:tc>
        <w:tc>
          <w:tcPr>
            <w:tcW w:w="3827" w:type="dxa"/>
            <w:tcBorders>
              <w:top w:val="single" w:sz="4" w:space="0" w:color="auto"/>
              <w:left w:val="nil"/>
              <w:right w:val="nil"/>
            </w:tcBorders>
          </w:tcPr>
          <w:p w14:paraId="45A16AEB" w14:textId="77777777" w:rsidR="00A65FE6" w:rsidRDefault="00A65FE6" w:rsidP="005E1E97">
            <w:pPr>
              <w:pStyle w:val="p1a"/>
              <w:rPr>
                <w:lang w:val="en-ID"/>
              </w:rPr>
            </w:pPr>
            <w:r w:rsidRPr="000C0317">
              <w:t>Improvement in justifying arguments, presentations, and communication skills within interdisciplinary and multicultural contexts.</w:t>
            </w:r>
          </w:p>
        </w:tc>
        <w:tc>
          <w:tcPr>
            <w:tcW w:w="1243" w:type="dxa"/>
            <w:tcBorders>
              <w:top w:val="single" w:sz="4" w:space="0" w:color="auto"/>
              <w:left w:val="nil"/>
            </w:tcBorders>
          </w:tcPr>
          <w:p w14:paraId="5C8F8E30" w14:textId="0603CE37" w:rsidR="00A65FE6" w:rsidRDefault="00A65FE6" w:rsidP="005E1E97">
            <w:pPr>
              <w:pStyle w:val="p1a"/>
              <w:rPr>
                <w:lang w:val="en-ID"/>
              </w:rPr>
            </w:pPr>
            <w:r>
              <w:t>[15,18,20,24]</w:t>
            </w:r>
          </w:p>
        </w:tc>
      </w:tr>
    </w:tbl>
    <w:p w14:paraId="091A499A" w14:textId="77777777" w:rsidR="00A65FE6" w:rsidRPr="00F801B7" w:rsidRDefault="00A65FE6" w:rsidP="00A65FE6">
      <w:pPr>
        <w:pStyle w:val="p1a"/>
        <w:rPr>
          <w:lang w:val="en-ID"/>
        </w:rPr>
      </w:pPr>
    </w:p>
    <w:p w14:paraId="50864E12" w14:textId="77777777" w:rsidR="00A65FE6" w:rsidRPr="000751C6" w:rsidRDefault="00A65FE6" w:rsidP="00A65FE6">
      <w:pPr>
        <w:rPr>
          <w:lang w:val="en-ID"/>
        </w:rPr>
      </w:pPr>
      <w:r w:rsidRPr="000751C6">
        <w:rPr>
          <w:lang w:val="en-ID"/>
        </w:rPr>
        <w:t xml:space="preserve">This review found consistent empirical evidence regarding the effectiveness of Project-based Learning (PjBL) in improving Higher Order Thinking Skills (HOTS) and 21st Century Skills relevant to the Sustainable Development Goals (SDGs) [J13, J15]. </w:t>
      </w:r>
      <w:r w:rsidRPr="000751C6">
        <w:rPr>
          <w:lang w:val="en-ID"/>
        </w:rPr>
        <w:lastRenderedPageBreak/>
        <w:t>PjBL measurably facilitates significant improvements in Critical Thinking Skills, which are essential in analyzing complex sustainability issues, such as formulating problems and evaluating evidence-based solutions [J3, J4, J15]. This improvement is reinforced by a surge in Innovation and Creativity skills, where students successfully produce authentic and applicable solutions, ranging from renewable energy system designs to waste-based product innovations, often surpassing conventional teaching methods [J6, J15].</w:t>
      </w:r>
    </w:p>
    <w:p w14:paraId="4B6DDA10" w14:textId="77777777" w:rsidR="00A65FE6" w:rsidRPr="000751C6" w:rsidRDefault="00A65FE6" w:rsidP="00A65FE6">
      <w:pPr>
        <w:rPr>
          <w:lang w:val="en-ID"/>
        </w:rPr>
      </w:pPr>
    </w:p>
    <w:p w14:paraId="50536344" w14:textId="77777777" w:rsidR="00A65FE6" w:rsidRPr="00F801B7" w:rsidRDefault="00A65FE6" w:rsidP="00A65FE6">
      <w:pPr>
        <w:rPr>
          <w:lang w:val="en-ID"/>
        </w:rPr>
      </w:pPr>
      <w:r w:rsidRPr="000751C6">
        <w:rPr>
          <w:lang w:val="en-ID"/>
        </w:rPr>
        <w:t>These cognitive achievements are channeled through improved Disciplinary Technical Competence. In the context of Science and Engineering, PjBL successfully instills mastery of application concepts, such as green chemistry and electronic engineering, as students see the direct relevance of this knowledge in the real solutions they develop [J11, J13, J14]. The development of Effective Communication Skills complements these cognitive impacts. PjBL forces students to construct, justify, and present their arguments, a vital skill for advocating sustainable solutions, especially in interdisciplinary and multicultural learning environments [J8, J10].</w:t>
      </w:r>
    </w:p>
    <w:p w14:paraId="2A13FE2C" w14:textId="77777777" w:rsidR="00A65FE6" w:rsidRDefault="00A65FE6" w:rsidP="00A65FE6">
      <w:pPr>
        <w:ind w:firstLine="0"/>
        <w:rPr>
          <w:lang w:val="en-ID"/>
        </w:rPr>
      </w:pPr>
    </w:p>
    <w:p w14:paraId="5C0AA8FC" w14:textId="77777777" w:rsidR="00A65FE6" w:rsidRDefault="00A65FE6" w:rsidP="00A65FE6">
      <w:pPr>
        <w:pStyle w:val="heading2"/>
        <w:spacing w:before="0"/>
        <w:jc w:val="both"/>
      </w:pPr>
      <w:r w:rsidRPr="00F9418B">
        <w:t>How does PjBL function as a mechanism to bridge the gap between theoretical awareness and SDG action implementation, and how does it affect students' motivation, self-efficacy, and sense of social responsibility?</w:t>
      </w:r>
    </w:p>
    <w:p w14:paraId="2001C4EF" w14:textId="77777777" w:rsidR="00A65FE6" w:rsidRDefault="00A65FE6" w:rsidP="00A65FE6">
      <w:pPr>
        <w:pStyle w:val="p1a"/>
        <w:ind w:firstLine="227"/>
      </w:pPr>
      <w:r w:rsidRPr="000751C6">
        <w:t xml:space="preserve">To answer questions about the transformative mechanism of PjBL, Table </w:t>
      </w:r>
      <w:r>
        <w:t>5</w:t>
      </w:r>
      <w:r w:rsidRPr="000751C6">
        <w:t xml:space="preserve"> presents a synthesis of the impact of PjBL on students' affective constructs, explicitly identifying the role of this methodology in bridging the gap between theoretical awareness of SDGs and the implementation of concrete actions.</w:t>
      </w:r>
    </w:p>
    <w:p w14:paraId="7EECC230" w14:textId="77777777" w:rsidR="00A65FE6" w:rsidRDefault="00A65FE6" w:rsidP="00A65FE6">
      <w:pPr>
        <w:jc w:val="center"/>
        <w:rPr>
          <w:lang w:val="en-ID"/>
        </w:rPr>
      </w:pPr>
      <w:r w:rsidRPr="000751C6">
        <w:rPr>
          <w:b/>
          <w:bCs/>
          <w:lang w:val="en-ID"/>
        </w:rPr>
        <w:t>Table 5</w:t>
      </w:r>
      <w:r>
        <w:rPr>
          <w:lang w:val="en-ID"/>
        </w:rPr>
        <w:t xml:space="preserve">. </w:t>
      </w:r>
      <w:r w:rsidRPr="000751C6">
        <w:rPr>
          <w:lang w:val="en-ID"/>
        </w:rPr>
        <w:t>PjBL Mechanism: Affective Transformation and Sustainability Action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552"/>
        <w:gridCol w:w="4066"/>
        <w:gridCol w:w="1300"/>
      </w:tblGrid>
      <w:tr w:rsidR="00A65FE6" w:rsidRPr="002E2D79" w14:paraId="2D59A10D" w14:textId="77777777" w:rsidTr="00A65FE6">
        <w:trPr>
          <w:tblHeader/>
        </w:trPr>
        <w:tc>
          <w:tcPr>
            <w:tcW w:w="1555" w:type="dxa"/>
            <w:tcBorders>
              <w:bottom w:val="single" w:sz="4" w:space="0" w:color="auto"/>
              <w:right w:val="nil"/>
            </w:tcBorders>
            <w:vAlign w:val="center"/>
          </w:tcPr>
          <w:p w14:paraId="5BE2A292" w14:textId="77777777" w:rsidR="00A65FE6" w:rsidRPr="002E2D79" w:rsidRDefault="00A65FE6" w:rsidP="005E1E97">
            <w:pPr>
              <w:ind w:firstLine="0"/>
              <w:jc w:val="center"/>
              <w:rPr>
                <w:lang w:val="en-ID"/>
              </w:rPr>
            </w:pPr>
            <w:r w:rsidRPr="002E2D79">
              <w:t>Affective Construct &amp; Key Mechanism</w:t>
            </w:r>
          </w:p>
        </w:tc>
        <w:tc>
          <w:tcPr>
            <w:tcW w:w="4110" w:type="dxa"/>
            <w:tcBorders>
              <w:left w:val="nil"/>
              <w:bottom w:val="single" w:sz="4" w:space="0" w:color="auto"/>
              <w:right w:val="nil"/>
            </w:tcBorders>
            <w:vAlign w:val="center"/>
          </w:tcPr>
          <w:p w14:paraId="2083B40D" w14:textId="77777777" w:rsidR="00A65FE6" w:rsidRPr="002E2D79" w:rsidRDefault="00A65FE6" w:rsidP="005E1E97">
            <w:pPr>
              <w:ind w:firstLine="0"/>
              <w:jc w:val="center"/>
              <w:rPr>
                <w:lang w:val="en-ID"/>
              </w:rPr>
            </w:pPr>
            <w:r w:rsidRPr="002E2D79">
              <w:t>Transformation and Real Action Indicator</w:t>
            </w:r>
          </w:p>
        </w:tc>
        <w:tc>
          <w:tcPr>
            <w:tcW w:w="1243" w:type="dxa"/>
            <w:tcBorders>
              <w:left w:val="nil"/>
              <w:bottom w:val="single" w:sz="4" w:space="0" w:color="auto"/>
            </w:tcBorders>
            <w:vAlign w:val="center"/>
          </w:tcPr>
          <w:p w14:paraId="779F179C" w14:textId="77777777" w:rsidR="00A65FE6" w:rsidRPr="002E2D79" w:rsidRDefault="00A65FE6" w:rsidP="005E1E97">
            <w:pPr>
              <w:ind w:firstLine="0"/>
              <w:jc w:val="center"/>
              <w:rPr>
                <w:lang w:val="en-ID"/>
              </w:rPr>
            </w:pPr>
            <w:r w:rsidRPr="002E2D79">
              <w:t>Supporting Methodology</w:t>
            </w:r>
          </w:p>
        </w:tc>
      </w:tr>
      <w:tr w:rsidR="00A65FE6" w:rsidRPr="002E2D79" w14:paraId="6B8CF2AC" w14:textId="77777777" w:rsidTr="00A65FE6">
        <w:tc>
          <w:tcPr>
            <w:tcW w:w="1555" w:type="dxa"/>
            <w:tcBorders>
              <w:bottom w:val="nil"/>
              <w:right w:val="nil"/>
            </w:tcBorders>
          </w:tcPr>
          <w:p w14:paraId="6284406B" w14:textId="77777777" w:rsidR="00A65FE6" w:rsidRPr="002E2D79" w:rsidRDefault="00A65FE6" w:rsidP="005E1E97">
            <w:pPr>
              <w:ind w:firstLine="0"/>
            </w:pPr>
            <w:r w:rsidRPr="002E2D79">
              <w:t>Action-Awareness Gap</w:t>
            </w:r>
          </w:p>
        </w:tc>
        <w:tc>
          <w:tcPr>
            <w:tcW w:w="4110" w:type="dxa"/>
            <w:tcBorders>
              <w:left w:val="nil"/>
              <w:bottom w:val="nil"/>
              <w:right w:val="nil"/>
            </w:tcBorders>
          </w:tcPr>
          <w:p w14:paraId="06A83AC4" w14:textId="77777777" w:rsidR="00A65FE6" w:rsidRPr="002E2D79" w:rsidRDefault="00A65FE6" w:rsidP="005E1E97">
            <w:pPr>
              <w:ind w:firstLine="0"/>
              <w:rPr>
                <w:lang w:val="en-ID"/>
              </w:rPr>
            </w:pPr>
            <w:r w:rsidRPr="002E2D79">
              <w:t>PjBL as a Transformative Mechanism: Converts high affective awareness into Real Practical Action (Increased behavioral scores vs. only emotion/cognition).</w:t>
            </w:r>
          </w:p>
        </w:tc>
        <w:tc>
          <w:tcPr>
            <w:tcW w:w="1243" w:type="dxa"/>
            <w:tcBorders>
              <w:left w:val="nil"/>
              <w:bottom w:val="nil"/>
            </w:tcBorders>
          </w:tcPr>
          <w:p w14:paraId="7EE32846" w14:textId="4EAC9629" w:rsidR="00A65FE6" w:rsidRPr="002E2D79" w:rsidRDefault="00A65FE6" w:rsidP="005E1E97">
            <w:pPr>
              <w:ind w:firstLine="0"/>
              <w:rPr>
                <w:lang w:val="en-ID"/>
              </w:rPr>
            </w:pPr>
            <w:r>
              <w:t>[12,22,23,25]</w:t>
            </w:r>
          </w:p>
        </w:tc>
      </w:tr>
      <w:tr w:rsidR="00A65FE6" w:rsidRPr="002E2D79" w14:paraId="48E447E5" w14:textId="77777777" w:rsidTr="00A65FE6">
        <w:tc>
          <w:tcPr>
            <w:tcW w:w="1555" w:type="dxa"/>
            <w:tcBorders>
              <w:top w:val="nil"/>
              <w:bottom w:val="nil"/>
              <w:right w:val="nil"/>
            </w:tcBorders>
          </w:tcPr>
          <w:p w14:paraId="1946AA65" w14:textId="77777777" w:rsidR="00A65FE6" w:rsidRPr="002E2D79" w:rsidRDefault="00A65FE6" w:rsidP="005E1E97">
            <w:pPr>
              <w:ind w:firstLine="0"/>
            </w:pPr>
            <w:r w:rsidRPr="002E2D79">
              <w:t>Sense of Responsibility (Agency) &amp; Self-Efficacy</w:t>
            </w:r>
          </w:p>
        </w:tc>
        <w:tc>
          <w:tcPr>
            <w:tcW w:w="4110" w:type="dxa"/>
            <w:tcBorders>
              <w:top w:val="nil"/>
              <w:left w:val="nil"/>
              <w:bottom w:val="nil"/>
              <w:right w:val="nil"/>
            </w:tcBorders>
          </w:tcPr>
          <w:p w14:paraId="4703AC8C" w14:textId="77777777" w:rsidR="00A65FE6" w:rsidRPr="002E2D79" w:rsidRDefault="00A65FE6" w:rsidP="005E1E97">
            <w:pPr>
              <w:ind w:firstLine="0"/>
            </w:pPr>
            <w:r w:rsidRPr="002E2D79">
              <w:t>Increased Self-Efficacy and Learning Autonomy. Students demonstrate initiative, ownership, and self-regulation ability in sustainability projects.</w:t>
            </w:r>
          </w:p>
        </w:tc>
        <w:tc>
          <w:tcPr>
            <w:tcW w:w="1243" w:type="dxa"/>
            <w:tcBorders>
              <w:top w:val="nil"/>
              <w:left w:val="nil"/>
              <w:bottom w:val="nil"/>
            </w:tcBorders>
          </w:tcPr>
          <w:p w14:paraId="72FF581D" w14:textId="4ADC40AD" w:rsidR="00A65FE6" w:rsidRPr="002E2D79" w:rsidRDefault="00A65FE6" w:rsidP="005E1E97">
            <w:pPr>
              <w:ind w:firstLine="0"/>
            </w:pPr>
            <w:r>
              <w:t>[15,23, 26, 27]</w:t>
            </w:r>
          </w:p>
        </w:tc>
      </w:tr>
      <w:tr w:rsidR="00A65FE6" w:rsidRPr="002E2D79" w14:paraId="227F4EA9" w14:textId="77777777" w:rsidTr="00A65FE6">
        <w:tc>
          <w:tcPr>
            <w:tcW w:w="1555" w:type="dxa"/>
            <w:tcBorders>
              <w:top w:val="nil"/>
              <w:bottom w:val="nil"/>
              <w:right w:val="nil"/>
            </w:tcBorders>
          </w:tcPr>
          <w:p w14:paraId="78A703AA" w14:textId="77777777" w:rsidR="00A65FE6" w:rsidRPr="002E2D79" w:rsidRDefault="00A65FE6" w:rsidP="005E1E97">
            <w:pPr>
              <w:ind w:firstLine="0"/>
            </w:pPr>
            <w:r w:rsidRPr="002E2D79">
              <w:t>Transversal Competence &amp; Collaboration</w:t>
            </w:r>
          </w:p>
        </w:tc>
        <w:tc>
          <w:tcPr>
            <w:tcW w:w="4110" w:type="dxa"/>
            <w:tcBorders>
              <w:top w:val="nil"/>
              <w:left w:val="nil"/>
              <w:bottom w:val="nil"/>
              <w:right w:val="nil"/>
            </w:tcBorders>
          </w:tcPr>
          <w:p w14:paraId="3A448B0B" w14:textId="77777777" w:rsidR="00A65FE6" w:rsidRPr="002E2D79" w:rsidRDefault="00A65FE6" w:rsidP="005E1E97">
            <w:pPr>
              <w:ind w:firstLine="0"/>
            </w:pPr>
            <w:r w:rsidRPr="002E2D79">
              <w:t>Significant increase in Cross-Disciplinary Collaboration and the inculcation of University Social Responsibility (USR) values, which are key variables for solving SDGs problems.</w:t>
            </w:r>
          </w:p>
        </w:tc>
        <w:tc>
          <w:tcPr>
            <w:tcW w:w="1243" w:type="dxa"/>
            <w:tcBorders>
              <w:top w:val="nil"/>
              <w:left w:val="nil"/>
              <w:bottom w:val="nil"/>
            </w:tcBorders>
          </w:tcPr>
          <w:p w14:paraId="7296E941" w14:textId="57DC63F1" w:rsidR="00A65FE6" w:rsidRPr="002E2D79" w:rsidRDefault="00A65FE6" w:rsidP="005E1E97">
            <w:pPr>
              <w:ind w:firstLine="0"/>
            </w:pPr>
            <w:r>
              <w:t>[12,17.18,19]</w:t>
            </w:r>
          </w:p>
        </w:tc>
      </w:tr>
      <w:tr w:rsidR="00A65FE6" w:rsidRPr="002E2D79" w14:paraId="754C6478" w14:textId="77777777" w:rsidTr="00A65FE6">
        <w:tc>
          <w:tcPr>
            <w:tcW w:w="1555" w:type="dxa"/>
            <w:tcBorders>
              <w:top w:val="nil"/>
              <w:right w:val="nil"/>
            </w:tcBorders>
          </w:tcPr>
          <w:p w14:paraId="08F9808A" w14:textId="77777777" w:rsidR="00A65FE6" w:rsidRPr="002E2D79" w:rsidRDefault="00A65FE6" w:rsidP="005E1E97">
            <w:pPr>
              <w:ind w:firstLine="0"/>
            </w:pPr>
            <w:r w:rsidRPr="002E2D79">
              <w:t>Intrinsic Motivation</w:t>
            </w:r>
          </w:p>
        </w:tc>
        <w:tc>
          <w:tcPr>
            <w:tcW w:w="4110" w:type="dxa"/>
            <w:tcBorders>
              <w:top w:val="nil"/>
              <w:left w:val="nil"/>
              <w:right w:val="nil"/>
            </w:tcBorders>
          </w:tcPr>
          <w:p w14:paraId="66C4EB1F" w14:textId="77777777" w:rsidR="00A65FE6" w:rsidRPr="002E2D79" w:rsidRDefault="00A65FE6" w:rsidP="005E1E97">
            <w:pPr>
              <w:ind w:firstLine="0"/>
            </w:pPr>
            <w:r w:rsidRPr="002E2D79">
              <w:t>Increased interest and emotional engagement (</w:t>
            </w:r>
            <w:r w:rsidRPr="002E2D79">
              <w:rPr>
                <w:i/>
                <w:iCs/>
              </w:rPr>
              <w:t>intrinsic motivation</w:t>
            </w:r>
            <w:r w:rsidRPr="002E2D79">
              <w:t>) driven by the authenticity and relevance of the project problem.</w:t>
            </w:r>
          </w:p>
        </w:tc>
        <w:tc>
          <w:tcPr>
            <w:tcW w:w="1243" w:type="dxa"/>
            <w:tcBorders>
              <w:top w:val="nil"/>
              <w:left w:val="nil"/>
            </w:tcBorders>
          </w:tcPr>
          <w:p w14:paraId="2B7CFEEC" w14:textId="146E8B71" w:rsidR="00A65FE6" w:rsidRPr="002E2D79" w:rsidRDefault="00A65FE6" w:rsidP="005E1E97">
            <w:pPr>
              <w:ind w:firstLine="0"/>
            </w:pPr>
            <w:r>
              <w:t>[12.19.20]</w:t>
            </w:r>
          </w:p>
        </w:tc>
      </w:tr>
    </w:tbl>
    <w:p w14:paraId="0EB74D67" w14:textId="77777777" w:rsidR="00A65FE6" w:rsidRDefault="00A65FE6" w:rsidP="00A65FE6">
      <w:pPr>
        <w:ind w:firstLine="0"/>
        <w:rPr>
          <w:lang w:val="en-ID"/>
        </w:rPr>
      </w:pPr>
    </w:p>
    <w:p w14:paraId="29211AFF" w14:textId="77777777" w:rsidR="00A65FE6" w:rsidRPr="008576E3" w:rsidRDefault="00A65FE6" w:rsidP="00A65FE6">
      <w:pPr>
        <w:ind w:firstLine="0"/>
        <w:rPr>
          <w:lang w:val="en-ID"/>
        </w:rPr>
      </w:pPr>
      <w:r w:rsidRPr="008576E3">
        <w:rPr>
          <w:lang w:val="en-ID"/>
        </w:rPr>
        <w:lastRenderedPageBreak/>
        <w:t>Analysis of SLR findings reveals that the most significant function of Project-based Learning (PjBL) is as an effective Transformative Mechanism in bridging the Action-Awareness Gap—the disparity between students' knowledge of the Sustainable Development Goals (SDGs) and their willingness to act. In various contexts, studies have observed that even though students have high Emotional and Theoretical Awareness of the importance of sustainability, they often fail to translate this into practical action [J12, J2]. PjBL overcomes this behavioral inertia by transforming passive knowledge into Real Practical Action [J13, J15]. Through authentic projects, PjBL provides the direct experience necessary for behavioral change, which ultimately shows a significant improvement in sustainability behavior and practice scores, as opposed to methods that focus solely on the cognitive domain [J2, J12]. This transformative mechanism is rooted in PjBL's ability to influence students' affective constructs profoundly. The review highlights that PjBL is a superior tool for fostering a high sense of Agency and Self-Efficacy, as students are given the autonomy to design and lead their own solutions [J5, J13, J17, J18].</w:t>
      </w:r>
    </w:p>
    <w:p w14:paraId="7615736A" w14:textId="77777777" w:rsidR="00A65FE6" w:rsidRPr="008576E3" w:rsidRDefault="00A65FE6" w:rsidP="00A65FE6">
      <w:pPr>
        <w:ind w:firstLine="0"/>
        <w:rPr>
          <w:lang w:val="en-ID"/>
        </w:rPr>
      </w:pPr>
    </w:p>
    <w:p w14:paraId="2FF98DFD" w14:textId="77777777" w:rsidR="00A65FE6" w:rsidRPr="000751C6" w:rsidRDefault="00A65FE6" w:rsidP="00A65FE6">
      <w:pPr>
        <w:ind w:firstLine="0"/>
        <w:rPr>
          <w:lang w:val="en-ID"/>
        </w:rPr>
      </w:pPr>
      <w:r w:rsidRPr="008576E3">
        <w:rPr>
          <w:lang w:val="en-ID"/>
        </w:rPr>
        <w:t>This sense of ownership of authentic projects directly encourages Intrinsic Motivation, which is an essential factor for sustained engagement, beyond extrinsic incentives alone [J2, J9, J10]. The strengthening of Transversal Competencies reinforces this affective factor. PjBL, through its collaborative nature, provides an ideal environment for practicing teamwork, negotiation, and Interdisciplinary Collaboration skills—skills that are vital for solving holistic and interdisciplinary SDG problems [J2, J7, J8, J9]. These findings have profound implications for Education for Sustainable Development (ESD), affirming that curricula must be deliberately designed to prioritize action. PjBL has been shown not only to teach about sustainability but also to educate the character necessary for sustainable practices. By fostering agency and Transversal Competencies, PjBL ensures that students not only absorb SDG information but also develop a proactive mindset and social responsibility [J9, J16, J17].</w:t>
      </w:r>
    </w:p>
    <w:p w14:paraId="13C8ECB8" w14:textId="77777777" w:rsidR="00A65FE6" w:rsidRPr="000751C6" w:rsidRDefault="00A65FE6" w:rsidP="00A65FE6"/>
    <w:p w14:paraId="1E2DFF1A" w14:textId="77777777" w:rsidR="00A65FE6" w:rsidRDefault="00A65FE6" w:rsidP="00A65FE6">
      <w:pPr>
        <w:pStyle w:val="heading2"/>
        <w:spacing w:before="0"/>
        <w:jc w:val="both"/>
      </w:pPr>
      <w:r w:rsidRPr="00F9418B">
        <w:t>In what educational contexts has PjBL proven effective in integrating SDGs, and what are the most consistent implementation challenges and recommendations emerging from primary studies?</w:t>
      </w:r>
    </w:p>
    <w:p w14:paraId="65A03B05" w14:textId="77777777" w:rsidR="00A65FE6" w:rsidRPr="009C58DF" w:rsidRDefault="00A65FE6" w:rsidP="00A65FE6">
      <w:pPr>
        <w:pStyle w:val="p1a"/>
        <w:spacing w:after="240"/>
      </w:pPr>
      <w:r w:rsidRPr="009C58DF">
        <w:t>To answer this question, which focuses on the context of PjBL-SDG successes and challenges in the field, Table 3 presents a thematic analysis of the external validity of the studies, consistent implementation barriers, and pedagogical implications that emerged from the primary studies.</w:t>
      </w:r>
    </w:p>
    <w:p w14:paraId="4F051FF5" w14:textId="77777777" w:rsidR="00A65FE6" w:rsidRDefault="00A65FE6" w:rsidP="00A65FE6">
      <w:pPr>
        <w:jc w:val="center"/>
      </w:pPr>
      <w:r>
        <w:rPr>
          <w:lang w:val="en-ID"/>
        </w:rPr>
        <w:t xml:space="preserve">Table 6. </w:t>
      </w:r>
      <w:r w:rsidRPr="009C58DF">
        <w:t>Context of Implementation, Obstacles, and Pedagogical Implications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483"/>
        <w:gridCol w:w="4053"/>
        <w:gridCol w:w="1382"/>
      </w:tblGrid>
      <w:tr w:rsidR="00A65FE6" w14:paraId="60519B9C" w14:textId="77777777" w:rsidTr="00A65FE6">
        <w:trPr>
          <w:tblHeader/>
        </w:trPr>
        <w:tc>
          <w:tcPr>
            <w:tcW w:w="1413" w:type="dxa"/>
            <w:tcBorders>
              <w:bottom w:val="single" w:sz="4" w:space="0" w:color="auto"/>
              <w:right w:val="nil"/>
            </w:tcBorders>
            <w:vAlign w:val="center"/>
          </w:tcPr>
          <w:p w14:paraId="12A7DE7C" w14:textId="77777777" w:rsidR="00A65FE6" w:rsidRDefault="00A65FE6" w:rsidP="005E1E97">
            <w:pPr>
              <w:ind w:firstLine="0"/>
              <w:jc w:val="center"/>
            </w:pPr>
            <w:r w:rsidRPr="009C58DF">
              <w:t>Context Dimension</w:t>
            </w:r>
          </w:p>
        </w:tc>
        <w:tc>
          <w:tcPr>
            <w:tcW w:w="4111" w:type="dxa"/>
            <w:tcBorders>
              <w:left w:val="nil"/>
              <w:bottom w:val="single" w:sz="4" w:space="0" w:color="auto"/>
              <w:right w:val="nil"/>
            </w:tcBorders>
            <w:vAlign w:val="center"/>
          </w:tcPr>
          <w:p w14:paraId="4D0F04C7" w14:textId="77777777" w:rsidR="00A65FE6" w:rsidRDefault="00A65FE6" w:rsidP="005E1E97">
            <w:pPr>
              <w:ind w:firstLine="0"/>
              <w:jc w:val="center"/>
            </w:pPr>
            <w:r w:rsidRPr="009C58DF">
              <w:t>Key Implementation Findings and Obstacles</w:t>
            </w:r>
          </w:p>
        </w:tc>
        <w:tc>
          <w:tcPr>
            <w:tcW w:w="1384" w:type="dxa"/>
            <w:tcBorders>
              <w:left w:val="nil"/>
              <w:bottom w:val="single" w:sz="4" w:space="0" w:color="auto"/>
            </w:tcBorders>
            <w:vAlign w:val="center"/>
          </w:tcPr>
          <w:p w14:paraId="543715F1" w14:textId="77777777" w:rsidR="00A65FE6" w:rsidRDefault="00A65FE6" w:rsidP="005E1E97">
            <w:pPr>
              <w:ind w:firstLine="0"/>
              <w:jc w:val="center"/>
            </w:pPr>
            <w:r w:rsidRPr="009C58DF">
              <w:t>Supporting Studies</w:t>
            </w:r>
          </w:p>
        </w:tc>
      </w:tr>
      <w:tr w:rsidR="00A65FE6" w14:paraId="52C62134" w14:textId="77777777" w:rsidTr="00A65FE6">
        <w:tc>
          <w:tcPr>
            <w:tcW w:w="1413" w:type="dxa"/>
            <w:tcBorders>
              <w:bottom w:val="nil"/>
              <w:right w:val="nil"/>
            </w:tcBorders>
          </w:tcPr>
          <w:p w14:paraId="35CBA071" w14:textId="77777777" w:rsidR="00A65FE6" w:rsidRPr="009C58DF" w:rsidRDefault="00A65FE6" w:rsidP="005E1E97">
            <w:pPr>
              <w:ind w:firstLine="0"/>
            </w:pPr>
            <w:r w:rsidRPr="009C58DF">
              <w:t>External Validity (Contexts)</w:t>
            </w:r>
          </w:p>
        </w:tc>
        <w:tc>
          <w:tcPr>
            <w:tcW w:w="4111" w:type="dxa"/>
            <w:tcBorders>
              <w:left w:val="nil"/>
              <w:bottom w:val="nil"/>
              <w:right w:val="nil"/>
            </w:tcBorders>
          </w:tcPr>
          <w:p w14:paraId="5FD6D0B0" w14:textId="77777777" w:rsidR="00A65FE6" w:rsidRPr="009C58DF" w:rsidRDefault="00A65FE6" w:rsidP="005E1E97">
            <w:pPr>
              <w:ind w:firstLine="0"/>
            </w:pPr>
            <w:r w:rsidRPr="009C58DF">
              <w:t xml:space="preserve">Successful PjBL implementation across various educational levels (Elementary School, Vocational High School, Higher Education) and </w:t>
            </w:r>
            <w:r w:rsidRPr="009C58DF">
              <w:lastRenderedPageBreak/>
              <w:t>collaboration models (</w:t>
            </w:r>
            <w:r w:rsidRPr="009C58DF">
              <w:rPr>
                <w:i/>
                <w:iCs/>
              </w:rPr>
              <w:t>e.g., Industry-Academia, Multi-Course, Long-Term</w:t>
            </w:r>
            <w:r w:rsidRPr="009C58DF">
              <w:t>).</w:t>
            </w:r>
          </w:p>
        </w:tc>
        <w:tc>
          <w:tcPr>
            <w:tcW w:w="1384" w:type="dxa"/>
            <w:tcBorders>
              <w:left w:val="nil"/>
              <w:bottom w:val="nil"/>
            </w:tcBorders>
          </w:tcPr>
          <w:p w14:paraId="4F10CE46" w14:textId="01B2FADB" w:rsidR="00A65FE6" w:rsidRPr="009C58DF" w:rsidRDefault="00A65FE6" w:rsidP="005E1E97">
            <w:pPr>
              <w:ind w:firstLine="0"/>
            </w:pPr>
            <w:r>
              <w:lastRenderedPageBreak/>
              <w:t>[14,20,21,23]</w:t>
            </w:r>
          </w:p>
        </w:tc>
      </w:tr>
      <w:tr w:rsidR="00A65FE6" w14:paraId="084E94A0" w14:textId="77777777" w:rsidTr="00A65FE6">
        <w:tc>
          <w:tcPr>
            <w:tcW w:w="1413" w:type="dxa"/>
            <w:tcBorders>
              <w:top w:val="nil"/>
              <w:bottom w:val="nil"/>
              <w:right w:val="nil"/>
            </w:tcBorders>
          </w:tcPr>
          <w:p w14:paraId="15F4B690" w14:textId="77777777" w:rsidR="00A65FE6" w:rsidRPr="009C58DF" w:rsidRDefault="00A65FE6" w:rsidP="005E1E97">
            <w:pPr>
              <w:ind w:firstLine="0"/>
            </w:pPr>
            <w:r w:rsidRPr="009C58DF">
              <w:t>Critical Implementation Obstacles</w:t>
            </w:r>
          </w:p>
        </w:tc>
        <w:tc>
          <w:tcPr>
            <w:tcW w:w="4111" w:type="dxa"/>
            <w:tcBorders>
              <w:top w:val="nil"/>
              <w:left w:val="nil"/>
              <w:bottom w:val="nil"/>
              <w:right w:val="nil"/>
            </w:tcBorders>
          </w:tcPr>
          <w:p w14:paraId="680C70A7" w14:textId="77777777" w:rsidR="00A65FE6" w:rsidRPr="009C58DF" w:rsidRDefault="00A65FE6" w:rsidP="005E1E97">
            <w:pPr>
              <w:ind w:firstLine="0"/>
            </w:pPr>
            <w:r w:rsidRPr="009C58DF">
              <w:t>Infrastructure Support: Lack of adequate mentor/tutor support and logistical/administrative constraints (procurement of materials). Initial Student Readiness: Low formal understanding of SDGs/TCs at the start of the program.</w:t>
            </w:r>
          </w:p>
        </w:tc>
        <w:tc>
          <w:tcPr>
            <w:tcW w:w="1384" w:type="dxa"/>
            <w:tcBorders>
              <w:top w:val="nil"/>
              <w:left w:val="nil"/>
              <w:bottom w:val="nil"/>
            </w:tcBorders>
          </w:tcPr>
          <w:p w14:paraId="404A954D" w14:textId="57901542" w:rsidR="00A65FE6" w:rsidRPr="009C58DF" w:rsidRDefault="00A65FE6" w:rsidP="005E1E97">
            <w:pPr>
              <w:ind w:firstLine="0"/>
            </w:pPr>
            <w:r>
              <w:t>[17,11, 14]</w:t>
            </w:r>
          </w:p>
        </w:tc>
      </w:tr>
      <w:tr w:rsidR="00A65FE6" w14:paraId="786FEF5E" w14:textId="77777777" w:rsidTr="00A65FE6">
        <w:tc>
          <w:tcPr>
            <w:tcW w:w="1413" w:type="dxa"/>
            <w:tcBorders>
              <w:top w:val="nil"/>
              <w:right w:val="nil"/>
            </w:tcBorders>
          </w:tcPr>
          <w:p w14:paraId="49A875F2" w14:textId="77777777" w:rsidR="00A65FE6" w:rsidRPr="009C58DF" w:rsidRDefault="00A65FE6" w:rsidP="005E1E97">
            <w:pPr>
              <w:ind w:firstLine="0"/>
            </w:pPr>
            <w:r w:rsidRPr="009C58DF">
              <w:t>Primary Pedagogical Implications</w:t>
            </w:r>
          </w:p>
        </w:tc>
        <w:tc>
          <w:tcPr>
            <w:tcW w:w="4111" w:type="dxa"/>
            <w:tcBorders>
              <w:top w:val="nil"/>
              <w:left w:val="nil"/>
              <w:right w:val="nil"/>
            </w:tcBorders>
          </w:tcPr>
          <w:p w14:paraId="5EC1AB1D" w14:textId="77777777" w:rsidR="00A65FE6" w:rsidRPr="009C58DF" w:rsidRDefault="00A65FE6" w:rsidP="005E1E97">
            <w:pPr>
              <w:ind w:firstLine="0"/>
            </w:pPr>
            <w:r w:rsidRPr="009C58DF">
              <w:t xml:space="preserve">Need for Structured Curriculum Integration (not merely an </w:t>
            </w:r>
            <w:r w:rsidRPr="009C58DF">
              <w:rPr>
                <w:i/>
                <w:iCs/>
              </w:rPr>
              <w:t>add-on</w:t>
            </w:r>
            <w:r w:rsidRPr="009C58DF">
              <w:t>), systematic teacher training, and leveraging industry-academia collaboration to enhance project authenticity.</w:t>
            </w:r>
          </w:p>
        </w:tc>
        <w:tc>
          <w:tcPr>
            <w:tcW w:w="1384" w:type="dxa"/>
            <w:tcBorders>
              <w:top w:val="nil"/>
              <w:left w:val="nil"/>
            </w:tcBorders>
          </w:tcPr>
          <w:p w14:paraId="46CE6E72" w14:textId="35CE857C" w:rsidR="00A65FE6" w:rsidRPr="009C58DF" w:rsidRDefault="00A65FE6" w:rsidP="005E1E97">
            <w:pPr>
              <w:ind w:firstLine="0"/>
            </w:pPr>
            <w:r>
              <w:t>[17.21, 24]</w:t>
            </w:r>
          </w:p>
        </w:tc>
      </w:tr>
    </w:tbl>
    <w:p w14:paraId="793ECED3" w14:textId="77777777" w:rsidR="00A65FE6" w:rsidRDefault="00A65FE6" w:rsidP="00A65FE6">
      <w:r>
        <w:t>This review confirms the broad external validity of the effectiveness of Project-Based Learning (PBL) as an approach to Education for Sustainable Development (ESD). PjBL has been successfully implemented in various pedagogical contexts, ranging from elementary education (SD) that emphasizes communication and environmental awareness, to vocational high schools (SMK) and universities (PT) with a focus on disciplinary technical competencies. The success of PjBL spans various disciplines, including engineering, science, and business. It is achieved through innovative implementation models, such as digital PjBL, multi-course collaboration, and long-term projects involving local communities. This diversity of contexts highlights that PjBL is an adaptable framework that can be tailored to achieve the Sustainable Development Goals (SDGs), regardless of students' academic backgrounds or age.</w:t>
      </w:r>
    </w:p>
    <w:p w14:paraId="79916138" w14:textId="77777777" w:rsidR="00A65FE6" w:rsidRDefault="00A65FE6" w:rsidP="00A65FE6"/>
    <w:p w14:paraId="594BA930" w14:textId="77777777" w:rsidR="00A65FE6" w:rsidRDefault="00A65FE6" w:rsidP="00A65FE6">
      <w:r>
        <w:t>Although PjBL has high pedagogical effectiveness, its sustainability faces critical obstacles that are consistent across primary studies. The most significant challenges relate to institutional support and the availability of infrastructure. Teachers' workloads increase due to a lack of support from mentors or tutors. At the same time, projects are often delayed due to logistical and bureaucratic constraints in procuring materials, which ultimately affect student motivation and workflow. In addition, students' initial readiness is also a hindrance, as many begin projects with a limited understanding of the formal correlation between their subjects and the SDGs or the expected transversal competencies (TCs).</w:t>
      </w:r>
    </w:p>
    <w:p w14:paraId="46A67C6A" w14:textId="77777777" w:rsidR="00A65FE6" w:rsidRDefault="00A65FE6" w:rsidP="00A65FE6"/>
    <w:p w14:paraId="7BFFD083" w14:textId="77777777" w:rsidR="00A65FE6" w:rsidRPr="009C58DF" w:rsidRDefault="00A65FE6" w:rsidP="00A65FE6">
      <w:r>
        <w:t xml:space="preserve">These findings have important pedagogical implications for education policymakers. For PjBL to evolve from an isolated intervention to a sustainable curriculum practice, planned reforms are needed. First, a structured curriculum integration is required that explicitly maps PjBL learning outcomes to SDG targets, rather than simply treating SDGs as additional content. Second, industry-academic collaboration models and cross-disciplinary PjBL need to be prioritized, as they have been shown to increase project authenticity while providing a real-world context that helps students connect theory and practice. Ultimately, educational institutions must invest in comprehensive </w:t>
      </w:r>
      <w:r>
        <w:lastRenderedPageBreak/>
        <w:t>teacher training and implement effective administrative support mechanisms to mitigate logistical challenges. These efforts will directly support teacher autonomy and student project success, while ensuring the sustainability of PjBL practices within the framework of education for sustainable development.</w:t>
      </w:r>
    </w:p>
    <w:p w14:paraId="1FEF21E9" w14:textId="77777777" w:rsidR="00A65FE6" w:rsidRPr="00F801B7" w:rsidRDefault="00A65FE6" w:rsidP="00A65FE6">
      <w:pPr>
        <w:ind w:firstLine="0"/>
        <w:rPr>
          <w:lang w:val="en-ID"/>
        </w:rPr>
      </w:pPr>
    </w:p>
    <w:p w14:paraId="33F4A5E9" w14:textId="77777777" w:rsidR="00A65FE6" w:rsidRDefault="00A65FE6" w:rsidP="00A65FE6">
      <w:pPr>
        <w:pStyle w:val="heading1"/>
      </w:pPr>
      <w:r>
        <w:t>Conclution</w:t>
      </w:r>
    </w:p>
    <w:p w14:paraId="4B8DB34F" w14:textId="77777777" w:rsidR="00A65FE6" w:rsidRPr="006760B3" w:rsidRDefault="00A65FE6" w:rsidP="00A65FE6">
      <w:pPr>
        <w:pStyle w:val="p1a"/>
      </w:pPr>
      <w:r w:rsidRPr="006760B3">
        <w:t>This systematic literature review clearly confirms that Project-based Learning (PjBL) is a fundamental pedagogical strategy for empowering future generations to achieve the Sustainable Development Goals (SDGs). PjBL has been proven to consistently improve Higher Order Thinking Skills (HOTS) and 21st Century Skills, functioning as a Transformative Mechanism that bridges the gap between theoretical knowledge and Practical Action and fosters a high sense of Agency among students. Although the effectiveness and external validity of PjBL extend across various levels of education, its sustainable implementation requires institutional-level reforms—including Structured Curriculum Integration and investment in efficient Administrative Support Mechanisms—to overcome Critical Barriers and position PjBL as a strategic key to global development.</w:t>
      </w:r>
    </w:p>
    <w:bookmarkEnd w:id="0"/>
    <w:p w14:paraId="1624CB79" w14:textId="77777777" w:rsidR="00A65FE6" w:rsidRPr="00EE1BBB" w:rsidRDefault="00A65FE6" w:rsidP="00A65FE6">
      <w:pPr>
        <w:spacing w:before="360"/>
        <w:ind w:left="227" w:hanging="227"/>
      </w:pPr>
    </w:p>
    <w:p w14:paraId="1C9E9868" w14:textId="77777777" w:rsidR="00A65FE6" w:rsidRDefault="00A65FE6" w:rsidP="00A65FE6">
      <w:pPr>
        <w:pStyle w:val="heading1"/>
        <w:numPr>
          <w:ilvl w:val="0"/>
          <w:numId w:val="0"/>
        </w:numPr>
        <w:ind w:left="567" w:hanging="567"/>
      </w:pPr>
      <w:r>
        <w:t>References</w:t>
      </w:r>
    </w:p>
    <w:p w14:paraId="7B36AD4F" w14:textId="36929AD8" w:rsidR="001C2704" w:rsidRPr="001C2704" w:rsidRDefault="001C2704" w:rsidP="001C2704">
      <w:pPr>
        <w:numPr>
          <w:ilvl w:val="0"/>
          <w:numId w:val="4"/>
        </w:numPr>
        <w:rPr>
          <w:lang w:val="en-ID"/>
        </w:rPr>
      </w:pPr>
      <w:r w:rsidRPr="001C2704">
        <w:rPr>
          <w:lang w:val="en-ID"/>
        </w:rPr>
        <w:t>Valavanidis, A.: Current Environmental Issues and Emerging Global Challenges in the 21st Century for Environmental Protection and Sustainable Development. Article December 2019 (2019)</w:t>
      </w:r>
    </w:p>
    <w:p w14:paraId="7BA3ADBA" w14:textId="2A025564" w:rsidR="001C2704" w:rsidRPr="001C2704" w:rsidRDefault="001C2704" w:rsidP="001C2704">
      <w:pPr>
        <w:numPr>
          <w:ilvl w:val="0"/>
          <w:numId w:val="4"/>
        </w:numPr>
        <w:rPr>
          <w:lang w:val="en-ID"/>
        </w:rPr>
      </w:pPr>
      <w:r w:rsidRPr="001C2704">
        <w:rPr>
          <w:lang w:val="en-ID"/>
        </w:rPr>
        <w:t>Fallah Shayan, N., Mohabbati-Kalejahi, N., Alavi, S., Zahed, M.A.: Sustainable Development Goals (SDGs) as a Framework for Corporate Social Responsibility (CSR). Sustainability 14(3), 1222 (2022)</w:t>
      </w:r>
    </w:p>
    <w:p w14:paraId="514CA67D" w14:textId="6F20D262" w:rsidR="001C2704" w:rsidRPr="001C2704" w:rsidRDefault="001C2704" w:rsidP="001C2704">
      <w:pPr>
        <w:numPr>
          <w:ilvl w:val="0"/>
          <w:numId w:val="4"/>
        </w:numPr>
        <w:rPr>
          <w:lang w:val="en-ID"/>
        </w:rPr>
      </w:pPr>
      <w:r w:rsidRPr="001C2704">
        <w:rPr>
          <w:lang w:val="en-ID"/>
        </w:rPr>
        <w:t>Kioupi, V., Voulvoulis, N.: Education for Sustainable Development as the Catalyst for Local Transitions Toward the Sustainable Development Goals. Front. Sustain. 3, 889904 (2022)</w:t>
      </w:r>
    </w:p>
    <w:p w14:paraId="049BF53C" w14:textId="05B26FC3" w:rsidR="001C2704" w:rsidRPr="001C2704" w:rsidRDefault="001C2704" w:rsidP="001C2704">
      <w:pPr>
        <w:numPr>
          <w:ilvl w:val="0"/>
          <w:numId w:val="4"/>
        </w:numPr>
        <w:rPr>
          <w:lang w:val="en-ID"/>
        </w:rPr>
      </w:pPr>
      <w:r w:rsidRPr="001C2704">
        <w:rPr>
          <w:lang w:val="en-ID"/>
        </w:rPr>
        <w:t>Maoela, M.A., Chapungu, L., Nhamo, G.: Students' awareness, knowledge and attitudes towards the sustainable development goals at the University of South Africa. International Journal of Sustainability in Higher Education 25(9), 455–473 (2024)</w:t>
      </w:r>
      <w:r w:rsidRPr="001C2704">
        <w:rPr>
          <w:vertAlign w:val="superscript"/>
          <w:lang w:val="en-ID"/>
        </w:rPr>
        <w:t>4</w:t>
      </w:r>
    </w:p>
    <w:p w14:paraId="6E1BC0E2" w14:textId="70D1835F" w:rsidR="001C2704" w:rsidRPr="001C2704" w:rsidRDefault="001C2704" w:rsidP="001C2704">
      <w:pPr>
        <w:numPr>
          <w:ilvl w:val="0"/>
          <w:numId w:val="4"/>
        </w:numPr>
        <w:rPr>
          <w:lang w:val="en-ID"/>
        </w:rPr>
      </w:pPr>
      <w:r w:rsidRPr="001C2704">
        <w:rPr>
          <w:lang w:val="en-ID"/>
        </w:rPr>
        <w:t>Elamin, N.E.A.: Assessing Knowledge of Sustainable Development Goals Among Diverse Students: A Case Study of Al Qasimia University. Sustainability 17(8), 3343 (2025)</w:t>
      </w:r>
    </w:p>
    <w:p w14:paraId="60FA8C3F" w14:textId="5B3A600A" w:rsidR="001C2704" w:rsidRPr="001C2704" w:rsidRDefault="001C2704" w:rsidP="001C2704">
      <w:pPr>
        <w:numPr>
          <w:ilvl w:val="0"/>
          <w:numId w:val="4"/>
        </w:numPr>
        <w:rPr>
          <w:lang w:val="en-ID"/>
        </w:rPr>
      </w:pPr>
      <w:r w:rsidRPr="001C2704">
        <w:rPr>
          <w:lang w:val="en-ID"/>
        </w:rPr>
        <w:t>Wulandari, R.: Characteristics and Learning Models of the 21st Century. Social Humanities and Educational Studies (SHES) Conference Series 4(3), 8–16 (2021)</w:t>
      </w:r>
    </w:p>
    <w:p w14:paraId="1C0DDC97" w14:textId="77777777" w:rsidR="001C2704" w:rsidRPr="001C2704" w:rsidRDefault="001C2704" w:rsidP="001C2704">
      <w:pPr>
        <w:numPr>
          <w:ilvl w:val="0"/>
          <w:numId w:val="4"/>
        </w:numPr>
        <w:rPr>
          <w:lang w:val="en-ID"/>
        </w:rPr>
      </w:pPr>
      <w:r w:rsidRPr="001C2704">
        <w:rPr>
          <w:lang w:val="en-ID"/>
        </w:rPr>
        <w:lastRenderedPageBreak/>
        <w:t>Alturki, U., Aldraiweesh, A.: The Factors Influencing 21st Century Skills and Problem-Solving Skills: The Acceptance of Blackboard as Sustainable Education. Sustainability 15(17), 12845 (2023)</w:t>
      </w:r>
      <w:r w:rsidRPr="001C2704">
        <w:rPr>
          <w:vertAlign w:val="superscript"/>
          <w:lang w:val="en-ID"/>
        </w:rPr>
        <w:t>7777</w:t>
      </w:r>
      <w:r w:rsidRPr="001C2704">
        <w:rPr>
          <w:lang w:val="en-ID"/>
        </w:rPr>
        <w:t>.</w:t>
      </w:r>
    </w:p>
    <w:p w14:paraId="5AD45E60" w14:textId="77777777" w:rsidR="001C2704" w:rsidRPr="001C2704" w:rsidRDefault="001C2704" w:rsidP="001C2704">
      <w:pPr>
        <w:numPr>
          <w:ilvl w:val="0"/>
          <w:numId w:val="4"/>
        </w:numPr>
        <w:rPr>
          <w:lang w:val="en-ID"/>
        </w:rPr>
      </w:pPr>
      <w:r w:rsidRPr="001C2704">
        <w:rPr>
          <w:lang w:val="en-ID"/>
        </w:rPr>
        <w:t>Dirgantoro, K.P.S., Soesanto, R.H.: Towards a Paradigm Shift: Analysis of Student Teachers' and Teacher Education Institutions' Readiness on Kurikulum Merdeka. Jurnal Pendidikan dan Kebudayaan 8(2), 185–198 (2023)</w:t>
      </w:r>
      <w:r w:rsidRPr="001C2704">
        <w:rPr>
          <w:vertAlign w:val="superscript"/>
          <w:lang w:val="en-ID"/>
        </w:rPr>
        <w:t>8</w:t>
      </w:r>
      <w:r w:rsidRPr="001C2704">
        <w:rPr>
          <w:lang w:val="en-ID"/>
        </w:rPr>
        <w:t>.</w:t>
      </w:r>
    </w:p>
    <w:p w14:paraId="20357AB1" w14:textId="77777777" w:rsidR="001C2704" w:rsidRPr="001C2704" w:rsidRDefault="001C2704" w:rsidP="001C2704">
      <w:pPr>
        <w:numPr>
          <w:ilvl w:val="0"/>
          <w:numId w:val="4"/>
        </w:numPr>
        <w:rPr>
          <w:lang w:val="en-ID"/>
        </w:rPr>
      </w:pPr>
      <w:r w:rsidRPr="001C2704">
        <w:rPr>
          <w:lang w:val="en-ID"/>
        </w:rPr>
        <w:t>Purnamasari, A.Y., Rustaman, N., Purwianingsih, W., Lestari, W.: Implementation of project-based learning containing ESD to improve students' creative thinking skills. JPPI (Jurnal Penelitian Pendidikan Indonesia) 10(4), 110–117 (2024)</w:t>
      </w:r>
      <w:r w:rsidRPr="001C2704">
        <w:rPr>
          <w:vertAlign w:val="superscript"/>
          <w:lang w:val="en-ID"/>
        </w:rPr>
        <w:t>9</w:t>
      </w:r>
      <w:r w:rsidRPr="001C2704">
        <w:rPr>
          <w:lang w:val="en-ID"/>
        </w:rPr>
        <w:t>.</w:t>
      </w:r>
    </w:p>
    <w:p w14:paraId="3A725946" w14:textId="7726D517" w:rsidR="00185266" w:rsidRDefault="001C2704" w:rsidP="001C2704">
      <w:pPr>
        <w:numPr>
          <w:ilvl w:val="0"/>
          <w:numId w:val="4"/>
        </w:numPr>
        <w:rPr>
          <w:lang w:val="en-ID"/>
        </w:rPr>
      </w:pPr>
      <w:r w:rsidRPr="001C2704">
        <w:rPr>
          <w:lang w:val="en-ID"/>
        </w:rPr>
        <w:t>Rizal, M.S., Murtadho, N., Hanafi, Y., Ananda, R., Mufarizuddin, M.: The Effectiveness of Project-Based Learning in Enhancing Social Competence among Elementary School Students. Journal of Integrated Elementary Education 5(2), 269–285 (2025)</w:t>
      </w:r>
      <w:r w:rsidRPr="001C2704">
        <w:rPr>
          <w:vertAlign w:val="superscript"/>
          <w:lang w:val="en-ID"/>
        </w:rPr>
        <w:t>10</w:t>
      </w:r>
      <w:r w:rsidRPr="001C2704">
        <w:rPr>
          <w:lang w:val="en-ID"/>
        </w:rPr>
        <w:t>.</w:t>
      </w:r>
    </w:p>
    <w:p w14:paraId="728E057C" w14:textId="77777777" w:rsidR="001C2704" w:rsidRPr="001C2704" w:rsidRDefault="001C2704" w:rsidP="001C2704">
      <w:pPr>
        <w:ind w:left="720" w:firstLine="0"/>
        <w:rPr>
          <w:lang w:val="en-ID"/>
        </w:rPr>
      </w:pPr>
      <w:r w:rsidRPr="001C2704">
        <w:rPr>
          <w:lang w:val="en-ID"/>
        </w:rPr>
        <w:t>Tentu, ini adalah daftar referensi lanjutan, dari nomor 11 hingga 27, dengan format yang Anda minta:</w:t>
      </w:r>
    </w:p>
    <w:p w14:paraId="4D7568A5" w14:textId="77777777" w:rsidR="001C2704" w:rsidRPr="001C2704" w:rsidRDefault="001C2704" w:rsidP="001C2704">
      <w:pPr>
        <w:numPr>
          <w:ilvl w:val="0"/>
          <w:numId w:val="5"/>
        </w:numPr>
        <w:rPr>
          <w:lang w:val="en-ID"/>
        </w:rPr>
      </w:pPr>
      <w:r w:rsidRPr="001C2704">
        <w:rPr>
          <w:lang w:val="en-ID"/>
        </w:rPr>
        <w:t>Khandakar, A., Chowdhury, M.E.H., Gonzales, A.J.S.P., Touati, F., Al Emadi, N., Ayari, M.A.: Case Study to Analyze the Impact of Multi-Course Project-Based Learning Approach on Education for Sustainable Development. Sustainability 12(2), 480 (2020).</w:t>
      </w:r>
    </w:p>
    <w:p w14:paraId="2C3C72DC" w14:textId="77777777" w:rsidR="001C2704" w:rsidRPr="001C2704" w:rsidRDefault="001C2704" w:rsidP="001C2704">
      <w:pPr>
        <w:numPr>
          <w:ilvl w:val="0"/>
          <w:numId w:val="5"/>
        </w:numPr>
        <w:rPr>
          <w:lang w:val="en-ID"/>
        </w:rPr>
      </w:pPr>
      <w:r w:rsidRPr="001C2704">
        <w:rPr>
          <w:lang w:val="en-ID"/>
        </w:rPr>
        <w:t>Calzado Villavecchia, L., Izcara Cayuela, C.: Taking Advantage of Sustainable Development Goals in Project Based CLIL: An International Experience to Enhance Communication Among Primary Students. CLIL Journal 1(1), 74–92 (2024).</w:t>
      </w:r>
    </w:p>
    <w:p w14:paraId="260F317F" w14:textId="77777777" w:rsidR="001C2704" w:rsidRPr="001C2704" w:rsidRDefault="001C2704" w:rsidP="001C2704">
      <w:pPr>
        <w:numPr>
          <w:ilvl w:val="0"/>
          <w:numId w:val="5"/>
        </w:numPr>
        <w:rPr>
          <w:lang w:val="en-ID"/>
        </w:rPr>
      </w:pPr>
      <w:r w:rsidRPr="001C2704">
        <w:rPr>
          <w:lang w:val="en-ID"/>
        </w:rPr>
        <w:t>Llopis-Albert, C., Rubio, F., Mata-Amela, V., Devece, C., Torner-Feltrer, M.E., Zeng, S.: Project-Based Learning methodology (PBL) for the acquisition of Transversal Competences (TCs) and integration of Sustainable Development Goals (SDGs) in mechanical engineering subjects. Multidisciplinary Journal for Education, Social and Technological Sciences 11(1), 99–126 (2024).</w:t>
      </w:r>
    </w:p>
    <w:p w14:paraId="2FEAAB3B" w14:textId="77777777" w:rsidR="001C2704" w:rsidRPr="001C2704" w:rsidRDefault="001C2704" w:rsidP="001C2704">
      <w:pPr>
        <w:numPr>
          <w:ilvl w:val="0"/>
          <w:numId w:val="5"/>
        </w:numPr>
        <w:rPr>
          <w:lang w:val="en-ID"/>
        </w:rPr>
      </w:pPr>
      <w:r w:rsidRPr="001C2704">
        <w:rPr>
          <w:lang w:val="en-ID"/>
        </w:rPr>
        <w:t>Filipe, S., Aragonez, T., Saur-Amaral, I.: Innovative Approaches to Teaching and Learning: Project Based Learning (PBL) Practices for Good. International Journal of Marketing Innovation and Strategy 1(2), 131–138 (2023).</w:t>
      </w:r>
    </w:p>
    <w:p w14:paraId="58B7C4F5" w14:textId="77777777" w:rsidR="001C2704" w:rsidRPr="001C2704" w:rsidRDefault="001C2704" w:rsidP="001C2704">
      <w:pPr>
        <w:numPr>
          <w:ilvl w:val="0"/>
          <w:numId w:val="5"/>
        </w:numPr>
        <w:rPr>
          <w:lang w:val="en-ID"/>
        </w:rPr>
      </w:pPr>
      <w:r w:rsidRPr="001C2704">
        <w:rPr>
          <w:lang w:val="en-ID"/>
        </w:rPr>
        <w:t>Prahani, B.K., Trianggono, M.M., Zahro, I., Siswono, H., Ashadi, F., Saphira, H.V.: Effectiveness of Digital Project-Based Science Learning in Optimizing Student's Creative Thinking Skills: Alignment with SDG 4 in Higher Education. SDGsReview 5(5), 1–21 (2025).</w:t>
      </w:r>
    </w:p>
    <w:p w14:paraId="1D0BD2A2" w14:textId="77777777" w:rsidR="001C2704" w:rsidRPr="001C2704" w:rsidRDefault="001C2704" w:rsidP="001C2704">
      <w:pPr>
        <w:numPr>
          <w:ilvl w:val="0"/>
          <w:numId w:val="5"/>
        </w:numPr>
        <w:rPr>
          <w:lang w:val="en-ID"/>
        </w:rPr>
      </w:pPr>
      <w:r w:rsidRPr="001C2704">
        <w:rPr>
          <w:lang w:val="en-ID"/>
        </w:rPr>
        <w:t>Vilmala, B.K., Kisworo, B., Rihan, H.G., Syafriani, S.: PjBL-ESD as an innovation in science learning: Cultivating local wisdom values and students' critical thinking skills. Journal of Environment and Sustainability Education 3(1), 62–70 (2025).</w:t>
      </w:r>
    </w:p>
    <w:p w14:paraId="699C4C58" w14:textId="77777777" w:rsidR="001C2704" w:rsidRPr="001C2704" w:rsidRDefault="001C2704" w:rsidP="001C2704">
      <w:pPr>
        <w:numPr>
          <w:ilvl w:val="0"/>
          <w:numId w:val="5"/>
        </w:numPr>
        <w:rPr>
          <w:lang w:val="en-ID"/>
        </w:rPr>
      </w:pPr>
      <w:r w:rsidRPr="001C2704">
        <w:rPr>
          <w:lang w:val="en-ID"/>
        </w:rPr>
        <w:t>Khoiri, N., Hayat, M.S., Siskawati, D.: Sustainability Awareness Profile of Locational School Students Through ESD-Oriented Project Based Learning. Jurnal Penelitian Pendidikan IPA 9(Special Issue), 932–938 (2023).</w:t>
      </w:r>
    </w:p>
    <w:p w14:paraId="2C29AE5A" w14:textId="77777777" w:rsidR="001C2704" w:rsidRPr="001C2704" w:rsidRDefault="001C2704" w:rsidP="001C2704">
      <w:pPr>
        <w:numPr>
          <w:ilvl w:val="0"/>
          <w:numId w:val="5"/>
        </w:numPr>
        <w:rPr>
          <w:lang w:val="en-ID"/>
        </w:rPr>
      </w:pPr>
      <w:r w:rsidRPr="001C2704">
        <w:rPr>
          <w:lang w:val="en-ID"/>
        </w:rPr>
        <w:lastRenderedPageBreak/>
        <w:t>Yusupova, M., Gazieva, S., Abdullayeva, Z., Umarova, Z., Akhmedova, M., Kambarova, M.: Integrating Project-Based Learning in English Language Teacher Education for Sustainable Development Goals (SDGs). International Journal of Language Education 9(2), 245–266 (2025).</w:t>
      </w:r>
    </w:p>
    <w:p w14:paraId="56127920" w14:textId="77777777" w:rsidR="001C2704" w:rsidRPr="001C2704" w:rsidRDefault="001C2704" w:rsidP="001C2704">
      <w:pPr>
        <w:numPr>
          <w:ilvl w:val="0"/>
          <w:numId w:val="5"/>
        </w:numPr>
        <w:rPr>
          <w:lang w:val="en-ID"/>
        </w:rPr>
      </w:pPr>
      <w:r w:rsidRPr="001C2704">
        <w:rPr>
          <w:lang w:val="en-ID"/>
        </w:rPr>
        <w:t>Lozano, A., López, R., Pereira, F.J., Blanco Fontao, C.: Impact of Cooperative Learning and Project-Based Learning through Emotional Intelligence: A Comparison of Methodologies for Implementing SDGs. Int. J. Environ. Res. Public Health 19(24), 16977 (2022).</w:t>
      </w:r>
    </w:p>
    <w:p w14:paraId="1DBDB6F0" w14:textId="77777777" w:rsidR="001C2704" w:rsidRPr="001C2704" w:rsidRDefault="001C2704" w:rsidP="001C2704">
      <w:pPr>
        <w:numPr>
          <w:ilvl w:val="0"/>
          <w:numId w:val="5"/>
        </w:numPr>
        <w:rPr>
          <w:lang w:val="en-ID"/>
        </w:rPr>
      </w:pPr>
      <w:r w:rsidRPr="001C2704">
        <w:rPr>
          <w:lang w:val="en-ID"/>
        </w:rPr>
        <w:t>Ariza, J.Á., Olatunde-Aiyedun, T.G.: Bringing Project-Based Learning into Renewable and Sustainable Energy Education: A Case Study on the Development of the Electric Vehicle EOLO. Sustainability 15(13), 10275 (2023).</w:t>
      </w:r>
    </w:p>
    <w:p w14:paraId="121FE7C3" w14:textId="77777777" w:rsidR="001C2704" w:rsidRPr="001C2704" w:rsidRDefault="001C2704" w:rsidP="001C2704">
      <w:pPr>
        <w:numPr>
          <w:ilvl w:val="0"/>
          <w:numId w:val="5"/>
        </w:numPr>
        <w:rPr>
          <w:lang w:val="en-ID"/>
        </w:rPr>
      </w:pPr>
      <w:r w:rsidRPr="001C2704">
        <w:rPr>
          <w:lang w:val="en-ID"/>
        </w:rPr>
        <w:t>Vilmala, B.K., Karniawati, I., Suhandi, A., et al.: A Literature Review of Education for Sustainable Development (ESD) in Science Learning: What, why, and how. Journal of Natural Science and Integration 5(1), 35–44 (2022).</w:t>
      </w:r>
    </w:p>
    <w:p w14:paraId="6D0ADDC2" w14:textId="77777777" w:rsidR="001C2704" w:rsidRPr="001C2704" w:rsidRDefault="001C2704" w:rsidP="001C2704">
      <w:pPr>
        <w:numPr>
          <w:ilvl w:val="0"/>
          <w:numId w:val="5"/>
        </w:numPr>
        <w:rPr>
          <w:lang w:val="en-ID"/>
        </w:rPr>
      </w:pPr>
      <w:r w:rsidRPr="001C2704">
        <w:rPr>
          <w:lang w:val="en-ID"/>
        </w:rPr>
        <w:t>Ariza, J.Á., Ramos, H.B.: An educational experience with PBL in capstone projects: The case of EOLO a Colombian electric vehicle with sustainable energy systems. In: Proceedings of the 2019 IEEE Frontiers in Education Conference (FIE). pp. 1–9 (2019).</w:t>
      </w:r>
    </w:p>
    <w:p w14:paraId="54EA44FA" w14:textId="77777777" w:rsidR="001C2704" w:rsidRPr="001C2704" w:rsidRDefault="001C2704" w:rsidP="001C2704">
      <w:pPr>
        <w:numPr>
          <w:ilvl w:val="0"/>
          <w:numId w:val="5"/>
        </w:numPr>
        <w:rPr>
          <w:lang w:val="en-ID"/>
        </w:rPr>
      </w:pPr>
      <w:r w:rsidRPr="001C2704">
        <w:rPr>
          <w:lang w:val="en-ID"/>
        </w:rPr>
        <w:t>Vilmala, B.K., Karniawati, I., Suhandi, A., Permanasari, A.: ESD integrated STEM education: What are the perceptions of prospective science teacher students ESD Integrated STEM Education: What are the Perceptions of Prospective Science Teacher Students. (2022).</w:t>
      </w:r>
    </w:p>
    <w:p w14:paraId="3A64FB12" w14:textId="77777777" w:rsidR="001C2704" w:rsidRPr="001C2704" w:rsidRDefault="001C2704" w:rsidP="001C2704">
      <w:pPr>
        <w:numPr>
          <w:ilvl w:val="0"/>
          <w:numId w:val="5"/>
        </w:numPr>
        <w:rPr>
          <w:lang w:val="en-ID"/>
        </w:rPr>
      </w:pPr>
      <w:r w:rsidRPr="001C2704">
        <w:rPr>
          <w:lang w:val="en-ID"/>
        </w:rPr>
        <w:t>Lozano, A., López, R., Pereira, F.J., Blanco Fontao, C.: Impact of Cooperative Learning and Project-Based Learning through Emotional Intelligence: A Comparison of Methodologies for Implementing SDGs. Int. J. Environ. Res. Public Health 19(24), 16977 (2022).</w:t>
      </w:r>
    </w:p>
    <w:p w14:paraId="4F00A99F" w14:textId="77777777" w:rsidR="001C2704" w:rsidRPr="001C2704" w:rsidRDefault="001C2704" w:rsidP="001C2704">
      <w:pPr>
        <w:numPr>
          <w:ilvl w:val="0"/>
          <w:numId w:val="5"/>
        </w:numPr>
        <w:rPr>
          <w:lang w:val="en-ID"/>
        </w:rPr>
      </w:pPr>
      <w:r w:rsidRPr="001C2704">
        <w:rPr>
          <w:lang w:val="en-ID"/>
        </w:rPr>
        <w:t>Calzado Villavecchia, L., Izcara Cayuela, C.: Taking Advantage of Sustainable Development Goals in Project Based CLIL: An International Experience to Enhance Communication Among Primary Students. CLIL Journal 1(1), 74–92 (2024).</w:t>
      </w:r>
    </w:p>
    <w:p w14:paraId="6778088F" w14:textId="77777777" w:rsidR="001C2704" w:rsidRPr="001C2704" w:rsidRDefault="001C2704" w:rsidP="001C2704">
      <w:pPr>
        <w:numPr>
          <w:ilvl w:val="0"/>
          <w:numId w:val="5"/>
        </w:numPr>
        <w:rPr>
          <w:lang w:val="en-ID"/>
        </w:rPr>
      </w:pPr>
      <w:r w:rsidRPr="001C2704">
        <w:rPr>
          <w:lang w:val="en-ID"/>
        </w:rPr>
        <w:t>Filipe, S., Aragonez, T., Saur-Amaral, I.: Innovative Approaches to Teaching and Learning: Project Based Learning (PBL) Practices for Good. International Journal of Marketing Innovation and Strategy 1(2), 131–138 (2023).</w:t>
      </w:r>
    </w:p>
    <w:p w14:paraId="02ED40F3" w14:textId="77777777" w:rsidR="001C2704" w:rsidRPr="001C2704" w:rsidRDefault="001C2704" w:rsidP="001C2704">
      <w:pPr>
        <w:numPr>
          <w:ilvl w:val="0"/>
          <w:numId w:val="5"/>
        </w:numPr>
        <w:rPr>
          <w:lang w:val="en-ID"/>
        </w:rPr>
      </w:pPr>
      <w:r w:rsidRPr="001C2704">
        <w:rPr>
          <w:lang w:val="en-ID"/>
        </w:rPr>
        <w:t>Khandakar, A., Chowdhury, M.E.H., Gonzales, A.J.S.P., Touati, F., Al Emadi, N., Ayari, M.A.: Case Study to Analyze the Impact of Multi-Course Project-Based Learning Approach on Education for Sustainable Development. Sustainability 12(2), 480 (2020).</w:t>
      </w:r>
    </w:p>
    <w:p w14:paraId="01730CFB" w14:textId="77777777" w:rsidR="001C2704" w:rsidRPr="001C2704" w:rsidRDefault="001C2704" w:rsidP="001C2704">
      <w:pPr>
        <w:ind w:left="720" w:firstLine="0"/>
        <w:rPr>
          <w:lang w:val="en-ID"/>
        </w:rPr>
      </w:pPr>
    </w:p>
    <w:sectPr w:rsidR="001C2704" w:rsidRPr="001C2704" w:rsidSect="00A65FE6">
      <w:headerReference w:type="even" r:id="rId6"/>
      <w:headerReference w:type="default" r:id="rId7"/>
      <w:pgSz w:w="11906" w:h="16838" w:code="9"/>
      <w:pgMar w:top="2948" w:right="2494" w:bottom="2948" w:left="2494" w:header="2381" w:footer="2324" w:gutter="0"/>
      <w:cols w:space="227"/>
      <w:titlePg/>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30AD" w14:textId="77777777" w:rsidR="00A65FE6" w:rsidRDefault="00A65FE6">
    <w:pPr>
      <w:pStyle w:val="runningheadleft"/>
    </w:pPr>
    <w:r>
      <w:fldChar w:fldCharType="begin"/>
    </w:r>
    <w:r>
      <w:instrText>PAGE   \* MERGEFORMAT</w:instrText>
    </w:r>
    <w:r>
      <w:fldChar w:fldCharType="separate"/>
    </w:r>
    <w:r>
      <w:rPr>
        <w:noProof/>
      </w:rPr>
      <w:t>2</w:t>
    </w:r>
    <w:r>
      <w:fldChar w:fldCharType="end"/>
    </w:r>
    <w:r>
      <w:t xml:space="preserve"> </w:t>
    </w:r>
    <w:r>
      <w:tab/>
      <w:t>F. Author and S.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F2D7" w14:textId="77777777" w:rsidR="00A65FE6" w:rsidRPr="00090B89" w:rsidRDefault="00A65FE6">
    <w:pPr>
      <w:pStyle w:val="runningheadright"/>
    </w:pPr>
    <w:r>
      <w:tab/>
    </w:r>
    <w:r w:rsidRPr="00090B89">
      <w:t>Contribution Title (shortened if too long)</w:t>
    </w:r>
    <w:r>
      <w:tab/>
    </w:r>
    <w:r>
      <w:fldChar w:fldCharType="begin"/>
    </w:r>
    <w:r>
      <w:instrText>PAGE   \* MERGEFORMAT</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76C3"/>
    <w:multiLevelType w:val="multilevel"/>
    <w:tmpl w:val="EF22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EB10A6"/>
    <w:multiLevelType w:val="multilevel"/>
    <w:tmpl w:val="C00E70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18169816">
    <w:abstractNumId w:val="2"/>
  </w:num>
  <w:num w:numId="2" w16cid:durableId="1225024652">
    <w:abstractNumId w:val="3"/>
  </w:num>
  <w:num w:numId="3" w16cid:durableId="2107841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765621">
    <w:abstractNumId w:val="0"/>
  </w:num>
  <w:num w:numId="5" w16cid:durableId="128327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E6"/>
    <w:rsid w:val="00185266"/>
    <w:rsid w:val="001C2704"/>
    <w:rsid w:val="002C1A4E"/>
    <w:rsid w:val="003C4A88"/>
    <w:rsid w:val="004757A9"/>
    <w:rsid w:val="005A75D4"/>
    <w:rsid w:val="00790A0A"/>
    <w:rsid w:val="00840727"/>
    <w:rsid w:val="00A65FE6"/>
    <w:rsid w:val="00CD2D3D"/>
    <w:rsid w:val="00D05A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8B70"/>
  <w15:chartTrackingRefBased/>
  <w15:docId w15:val="{0334806E-25B9-452C-A94D-42FABA0F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E6"/>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val="en-US"/>
      <w14:ligatures w14:val="none"/>
    </w:rPr>
  </w:style>
  <w:style w:type="paragraph" w:styleId="Heading10">
    <w:name w:val="heading 1"/>
    <w:basedOn w:val="Normal"/>
    <w:next w:val="Normal"/>
    <w:link w:val="Heading1Char"/>
    <w:uiPriority w:val="9"/>
    <w:qFormat/>
    <w:rsid w:val="00A65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0">
    <w:name w:val="heading 2"/>
    <w:basedOn w:val="Normal"/>
    <w:next w:val="Normal"/>
    <w:link w:val="Heading2Char"/>
    <w:uiPriority w:val="9"/>
    <w:semiHidden/>
    <w:unhideWhenUsed/>
    <w:qFormat/>
    <w:rsid w:val="00A65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A65F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0"/>
    <w:uiPriority w:val="9"/>
    <w:semiHidden/>
    <w:rsid w:val="00A65F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E6"/>
    <w:rPr>
      <w:rFonts w:eastAsiaTheme="majorEastAsia" w:cstheme="majorBidi"/>
      <w:color w:val="272727" w:themeColor="text1" w:themeTint="D8"/>
    </w:rPr>
  </w:style>
  <w:style w:type="paragraph" w:styleId="Title">
    <w:name w:val="Title"/>
    <w:basedOn w:val="Normal"/>
    <w:next w:val="Normal"/>
    <w:link w:val="TitleChar"/>
    <w:uiPriority w:val="10"/>
    <w:qFormat/>
    <w:rsid w:val="00A65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E6"/>
    <w:pPr>
      <w:spacing w:before="160"/>
      <w:jc w:val="center"/>
    </w:pPr>
    <w:rPr>
      <w:i/>
      <w:iCs/>
      <w:color w:val="404040" w:themeColor="text1" w:themeTint="BF"/>
    </w:rPr>
  </w:style>
  <w:style w:type="character" w:customStyle="1" w:styleId="QuoteChar">
    <w:name w:val="Quote Char"/>
    <w:basedOn w:val="DefaultParagraphFont"/>
    <w:link w:val="Quote"/>
    <w:uiPriority w:val="29"/>
    <w:rsid w:val="00A65FE6"/>
    <w:rPr>
      <w:i/>
      <w:iCs/>
      <w:color w:val="404040" w:themeColor="text1" w:themeTint="BF"/>
    </w:rPr>
  </w:style>
  <w:style w:type="paragraph" w:styleId="ListParagraph">
    <w:name w:val="List Paragraph"/>
    <w:basedOn w:val="Normal"/>
    <w:uiPriority w:val="34"/>
    <w:qFormat/>
    <w:rsid w:val="00A65FE6"/>
    <w:pPr>
      <w:ind w:left="720"/>
      <w:contextualSpacing/>
    </w:pPr>
  </w:style>
  <w:style w:type="character" w:styleId="IntenseEmphasis">
    <w:name w:val="Intense Emphasis"/>
    <w:basedOn w:val="DefaultParagraphFont"/>
    <w:uiPriority w:val="21"/>
    <w:qFormat/>
    <w:rsid w:val="00A65FE6"/>
    <w:rPr>
      <w:i/>
      <w:iCs/>
      <w:color w:val="2F5496" w:themeColor="accent1" w:themeShade="BF"/>
    </w:rPr>
  </w:style>
  <w:style w:type="paragraph" w:styleId="IntenseQuote">
    <w:name w:val="Intense Quote"/>
    <w:basedOn w:val="Normal"/>
    <w:next w:val="Normal"/>
    <w:link w:val="IntenseQuoteChar"/>
    <w:uiPriority w:val="30"/>
    <w:qFormat/>
    <w:rsid w:val="00A65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FE6"/>
    <w:rPr>
      <w:i/>
      <w:iCs/>
      <w:color w:val="2F5496" w:themeColor="accent1" w:themeShade="BF"/>
    </w:rPr>
  </w:style>
  <w:style w:type="character" w:styleId="IntenseReference">
    <w:name w:val="Intense Reference"/>
    <w:basedOn w:val="DefaultParagraphFont"/>
    <w:uiPriority w:val="32"/>
    <w:qFormat/>
    <w:rsid w:val="00A65FE6"/>
    <w:rPr>
      <w:b/>
      <w:bCs/>
      <w:smallCaps/>
      <w:color w:val="2F5496" w:themeColor="accent1" w:themeShade="BF"/>
      <w:spacing w:val="5"/>
    </w:rPr>
  </w:style>
  <w:style w:type="paragraph" w:customStyle="1" w:styleId="abstract">
    <w:name w:val="abstract"/>
    <w:basedOn w:val="Normal"/>
    <w:rsid w:val="00A65FE6"/>
    <w:pPr>
      <w:spacing w:before="600" w:after="360" w:line="220" w:lineRule="atLeast"/>
      <w:ind w:left="567" w:right="567"/>
      <w:contextualSpacing/>
    </w:pPr>
    <w:rPr>
      <w:sz w:val="18"/>
    </w:rPr>
  </w:style>
  <w:style w:type="paragraph" w:customStyle="1" w:styleId="address">
    <w:name w:val="address"/>
    <w:basedOn w:val="Normal"/>
    <w:rsid w:val="00A65FE6"/>
    <w:pPr>
      <w:spacing w:after="200" w:line="220" w:lineRule="atLeast"/>
      <w:ind w:firstLine="0"/>
      <w:contextualSpacing/>
      <w:jc w:val="center"/>
    </w:pPr>
    <w:rPr>
      <w:sz w:val="18"/>
    </w:rPr>
  </w:style>
  <w:style w:type="paragraph" w:customStyle="1" w:styleId="author">
    <w:name w:val="author"/>
    <w:basedOn w:val="Normal"/>
    <w:next w:val="address"/>
    <w:rsid w:val="00A65FE6"/>
    <w:pPr>
      <w:spacing w:after="200" w:line="220" w:lineRule="atLeast"/>
      <w:ind w:firstLine="0"/>
      <w:jc w:val="center"/>
    </w:pPr>
  </w:style>
  <w:style w:type="character" w:customStyle="1" w:styleId="e-mail">
    <w:name w:val="e-mail"/>
    <w:basedOn w:val="DefaultParagraphFont"/>
    <w:rsid w:val="00A65FE6"/>
    <w:rPr>
      <w:rFonts w:ascii="Courier" w:hAnsi="Courier"/>
      <w:noProof/>
    </w:rPr>
  </w:style>
  <w:style w:type="paragraph" w:customStyle="1" w:styleId="heading1">
    <w:name w:val="heading1"/>
    <w:basedOn w:val="Normal"/>
    <w:next w:val="p1a"/>
    <w:qFormat/>
    <w:rsid w:val="00A65FE6"/>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Normal"/>
    <w:next w:val="p1a"/>
    <w:qFormat/>
    <w:rsid w:val="00A65FE6"/>
    <w:pPr>
      <w:keepNext/>
      <w:keepLines/>
      <w:numPr>
        <w:ilvl w:val="1"/>
        <w:numId w:val="1"/>
      </w:numPr>
      <w:suppressAutoHyphens/>
      <w:spacing w:before="360" w:after="160"/>
      <w:jc w:val="left"/>
      <w:outlineLvl w:val="1"/>
    </w:pPr>
    <w:rPr>
      <w:b/>
    </w:rPr>
  </w:style>
  <w:style w:type="numbering" w:customStyle="1" w:styleId="headings">
    <w:name w:val="headings"/>
    <w:basedOn w:val="NoList"/>
    <w:rsid w:val="00A65FE6"/>
    <w:pPr>
      <w:numPr>
        <w:numId w:val="1"/>
      </w:numPr>
    </w:pPr>
  </w:style>
  <w:style w:type="character" w:styleId="Hyperlink">
    <w:name w:val="Hyperlink"/>
    <w:basedOn w:val="DefaultParagraphFont"/>
    <w:semiHidden/>
    <w:unhideWhenUsed/>
    <w:rsid w:val="00A65FE6"/>
    <w:rPr>
      <w:color w:val="auto"/>
      <w:u w:val="none"/>
    </w:rPr>
  </w:style>
  <w:style w:type="paragraph" w:customStyle="1" w:styleId="keywords">
    <w:name w:val="keywords"/>
    <w:basedOn w:val="abstract"/>
    <w:next w:val="heading1"/>
    <w:rsid w:val="00A65FE6"/>
    <w:pPr>
      <w:spacing w:before="220"/>
      <w:ind w:firstLine="0"/>
      <w:contextualSpacing w:val="0"/>
      <w:jc w:val="left"/>
    </w:pPr>
  </w:style>
  <w:style w:type="paragraph" w:customStyle="1" w:styleId="p1a">
    <w:name w:val="p1a"/>
    <w:basedOn w:val="Normal"/>
    <w:next w:val="Normal"/>
    <w:rsid w:val="00A65FE6"/>
    <w:pPr>
      <w:ind w:firstLine="0"/>
    </w:pPr>
  </w:style>
  <w:style w:type="paragraph" w:customStyle="1" w:styleId="referenceitem">
    <w:name w:val="referenceitem"/>
    <w:basedOn w:val="Normal"/>
    <w:rsid w:val="00A65FE6"/>
    <w:pPr>
      <w:numPr>
        <w:numId w:val="2"/>
      </w:numPr>
      <w:spacing w:line="220" w:lineRule="atLeast"/>
    </w:pPr>
    <w:rPr>
      <w:sz w:val="18"/>
    </w:rPr>
  </w:style>
  <w:style w:type="numbering" w:customStyle="1" w:styleId="referencelist">
    <w:name w:val="referencelist"/>
    <w:basedOn w:val="NoList"/>
    <w:semiHidden/>
    <w:rsid w:val="00A65FE6"/>
    <w:pPr>
      <w:numPr>
        <w:numId w:val="2"/>
      </w:numPr>
    </w:pPr>
  </w:style>
  <w:style w:type="paragraph" w:customStyle="1" w:styleId="runningheadleft">
    <w:name w:val="runninghead left"/>
    <w:basedOn w:val="Normal"/>
    <w:rsid w:val="00A65FE6"/>
    <w:pPr>
      <w:tabs>
        <w:tab w:val="left" w:pos="680"/>
      </w:tabs>
      <w:ind w:firstLine="0"/>
      <w:jc w:val="left"/>
    </w:pPr>
    <w:rPr>
      <w:sz w:val="18"/>
      <w:szCs w:val="18"/>
    </w:rPr>
  </w:style>
  <w:style w:type="paragraph" w:customStyle="1" w:styleId="runningheadright">
    <w:name w:val="runninghead right"/>
    <w:basedOn w:val="Normal"/>
    <w:rsid w:val="00A65FE6"/>
    <w:pPr>
      <w:tabs>
        <w:tab w:val="right" w:pos="6237"/>
        <w:tab w:val="right" w:pos="6917"/>
      </w:tabs>
      <w:ind w:firstLine="0"/>
      <w:jc w:val="left"/>
    </w:pPr>
    <w:rPr>
      <w:bCs/>
      <w:sz w:val="18"/>
      <w:szCs w:val="18"/>
    </w:rPr>
  </w:style>
  <w:style w:type="table" w:styleId="TableGrid">
    <w:name w:val="Table Grid"/>
    <w:basedOn w:val="TableNormal"/>
    <w:rsid w:val="00A65FE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3607</Words>
  <Characters>23379</Characters>
  <Application>Microsoft Office Word</Application>
  <DocSecurity>0</DocSecurity>
  <Lines>531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 5CD3300RYK</dc:creator>
  <cp:keywords/>
  <dc:description/>
  <cp:lastModifiedBy>SN 5CD3300RYK</cp:lastModifiedBy>
  <cp:revision>1</cp:revision>
  <dcterms:created xsi:type="dcterms:W3CDTF">2025-10-03T16:40:00Z</dcterms:created>
  <dcterms:modified xsi:type="dcterms:W3CDTF">2025-10-03T16:56:00Z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916b881d-f316-4c55-8e31-cc2006866e19</vt:lpwstr>
  </property>
</Properties>
</file>